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E62C12">
      <w:pPr>
        <w:pStyle w:val="2"/>
        <w:rPr>
          <w:rFonts w:hint="default"/>
          <w:lang w:val="en-US" w:eastAsia="zh-CN"/>
        </w:rPr>
      </w:pPr>
      <w:r>
        <w:rPr>
          <w:rFonts w:hint="eastAsia" w:ascii="Times New Roman" w:hAnsi="Times New Roman" w:eastAsia="仿宋" w:cs="Times New Roman"/>
          <w:spacing w:val="-10"/>
          <w:kern w:val="0"/>
          <w:sz w:val="32"/>
          <w:szCs w:val="32"/>
          <w:lang w:val="en-US" w:eastAsia="zh-CN"/>
        </w:rPr>
        <w:t>HNPR-2026-110</w:t>
      </w:r>
      <w:r>
        <w:rPr>
          <w:rFonts w:hint="default" w:ascii="Times New Roman" w:hAnsi="Times New Roman" w:eastAsia="仿宋" w:cs="Times New Roman"/>
          <w:spacing w:val="-10"/>
          <w:kern w:val="0"/>
          <w:sz w:val="32"/>
          <w:szCs w:val="32"/>
          <w:lang w:val="en-US" w:eastAsia="zh-CN"/>
        </w:rPr>
        <w:t>1</w:t>
      </w:r>
      <w:r>
        <w:rPr>
          <w:rFonts w:hint="eastAsia" w:ascii="Times New Roman" w:hAnsi="Times New Roman" w:eastAsia="仿宋" w:cs="Times New Roman"/>
          <w:spacing w:val="-10"/>
          <w:kern w:val="0"/>
          <w:sz w:val="32"/>
          <w:szCs w:val="32"/>
          <w:lang w:val="en-US" w:eastAsia="zh-CN"/>
        </w:rPr>
        <w:t>3</w:t>
      </w:r>
    </w:p>
    <w:p w14:paraId="37BC1D2B">
      <w:pPr>
        <w:spacing w:line="700" w:lineRule="exact"/>
        <w:ind w:firstLine="0" w:firstLineChars="0"/>
        <w:jc w:val="center"/>
        <w:rPr>
          <w:rFonts w:hint="eastAsia" w:ascii="方正小标宋简体" w:hAnsi="方正小标宋简体" w:eastAsia="方正小标宋简体" w:cs="方正小标宋简体"/>
          <w:color w:val="auto"/>
          <w:kern w:val="0"/>
          <w:sz w:val="44"/>
          <w:szCs w:val="44"/>
          <w:lang w:val="en-US" w:eastAsia="zh-CN" w:bidi="ar"/>
        </w:rPr>
      </w:pPr>
    </w:p>
    <w:p w14:paraId="1A34EBCA">
      <w:pPr>
        <w:spacing w:line="700" w:lineRule="exact"/>
        <w:ind w:firstLine="0" w:firstLineChars="0"/>
        <w:jc w:val="center"/>
        <w:rPr>
          <w:rFonts w:hint="eastAsia" w:ascii="方正小标宋简体" w:hAnsi="方正小标宋简体" w:eastAsia="方正小标宋简体" w:cs="方正小标宋简体"/>
          <w:color w:val="auto"/>
          <w:kern w:val="0"/>
          <w:sz w:val="44"/>
          <w:szCs w:val="44"/>
          <w:lang w:val="en-US" w:eastAsia="zh-CN" w:bidi="ar"/>
        </w:rPr>
      </w:pPr>
    </w:p>
    <w:p w14:paraId="2D68482E">
      <w:pPr>
        <w:spacing w:line="700" w:lineRule="exact"/>
        <w:ind w:firstLine="0" w:firstLineChars="0"/>
        <w:jc w:val="center"/>
        <w:rPr>
          <w:rFonts w:hint="eastAsia" w:ascii="方正小标宋简体" w:hAnsi="方正小标宋简体" w:eastAsia="方正小标宋简体" w:cs="方正小标宋简体"/>
          <w:color w:val="auto"/>
          <w:kern w:val="0"/>
          <w:sz w:val="44"/>
          <w:szCs w:val="44"/>
          <w:lang w:val="en-US" w:eastAsia="zh-CN" w:bidi="ar"/>
        </w:rPr>
      </w:pPr>
    </w:p>
    <w:p w14:paraId="54FE23B9">
      <w:pPr>
        <w:spacing w:line="700" w:lineRule="exact"/>
        <w:ind w:firstLine="0" w:firstLineChars="0"/>
        <w:jc w:val="center"/>
        <w:rPr>
          <w:rFonts w:hint="eastAsia" w:ascii="方正小标宋简体" w:hAnsi="方正小标宋简体" w:eastAsia="方正小标宋简体" w:cs="方正小标宋简体"/>
          <w:color w:val="auto"/>
          <w:kern w:val="0"/>
          <w:sz w:val="44"/>
          <w:szCs w:val="44"/>
          <w:lang w:val="en-US" w:eastAsia="zh-CN" w:bidi="ar"/>
        </w:rPr>
      </w:pPr>
    </w:p>
    <w:p w14:paraId="310B8E2E">
      <w:pPr>
        <w:spacing w:line="700" w:lineRule="exact"/>
        <w:ind w:firstLine="0" w:firstLineChars="0"/>
        <w:jc w:val="center"/>
        <w:rPr>
          <w:rFonts w:hint="eastAsia" w:ascii="方正小标宋简体" w:hAnsi="方正小标宋简体" w:eastAsia="方正小标宋简体" w:cs="方正小标宋简体"/>
          <w:color w:val="auto"/>
          <w:kern w:val="0"/>
          <w:sz w:val="44"/>
          <w:szCs w:val="44"/>
          <w:lang w:val="en-US" w:eastAsia="zh-CN" w:bidi="ar"/>
        </w:rPr>
      </w:pPr>
    </w:p>
    <w:p w14:paraId="4943489F">
      <w:pPr>
        <w:spacing w:line="700" w:lineRule="exact"/>
        <w:ind w:firstLine="0" w:firstLineChars="0"/>
        <w:jc w:val="center"/>
        <w:rPr>
          <w:rFonts w:hint="eastAsia" w:ascii="方正小标宋简体" w:hAnsi="方正小标宋简体" w:eastAsia="方正小标宋简体" w:cs="方正小标宋简体"/>
          <w:color w:val="auto"/>
          <w:kern w:val="0"/>
          <w:sz w:val="44"/>
          <w:szCs w:val="44"/>
          <w:lang w:val="en-US" w:eastAsia="zh-CN" w:bidi="ar"/>
        </w:rPr>
      </w:pPr>
    </w:p>
    <w:p w14:paraId="330730C7">
      <w:pPr>
        <w:spacing w:line="700" w:lineRule="exact"/>
        <w:ind w:firstLine="0" w:firstLineChars="0"/>
        <w:jc w:val="center"/>
        <w:rPr>
          <w:rFonts w:hint="eastAsia" w:ascii="方正小标宋简体" w:hAnsi="方正小标宋简体" w:eastAsia="方正小标宋简体" w:cs="方正小标宋简体"/>
          <w:color w:val="auto"/>
          <w:kern w:val="0"/>
          <w:sz w:val="44"/>
          <w:szCs w:val="44"/>
          <w:lang w:val="en-US" w:eastAsia="zh-CN" w:bidi="ar"/>
        </w:rPr>
      </w:pPr>
    </w:p>
    <w:p w14:paraId="58E0C797">
      <w:pPr>
        <w:spacing w:line="700" w:lineRule="exact"/>
        <w:ind w:firstLine="0" w:firstLineChars="0"/>
        <w:jc w:val="center"/>
        <w:rPr>
          <w:rFonts w:hint="eastAsia" w:ascii="方正小标宋简体" w:hAnsi="方正小标宋简体" w:eastAsia="方正小标宋简体" w:cs="方正小标宋简体"/>
          <w:color w:val="auto"/>
          <w:kern w:val="0"/>
          <w:sz w:val="44"/>
          <w:szCs w:val="44"/>
          <w:lang w:val="en-US" w:eastAsia="zh-CN" w:bidi="ar"/>
        </w:rPr>
      </w:pPr>
    </w:p>
    <w:p w14:paraId="7B213DCB">
      <w:pPr>
        <w:pStyle w:val="2"/>
        <w:ind w:left="0" w:leftChars="0" w:firstLine="0" w:firstLineChars="0"/>
        <w:jc w:val="center"/>
        <w:rPr>
          <w:rFonts w:hint="eastAsia" w:ascii="方正小标宋简体" w:hAnsi="方正小标宋简体" w:eastAsia="方正小标宋简体" w:cs="方正小标宋简体"/>
          <w:color w:val="auto"/>
          <w:kern w:val="0"/>
          <w:sz w:val="44"/>
          <w:szCs w:val="44"/>
          <w:lang w:val="en-US" w:eastAsia="zh-CN" w:bidi="ar"/>
        </w:rPr>
      </w:pPr>
      <w:r>
        <w:rPr>
          <w:rFonts w:hint="eastAsia" w:ascii="仿宋" w:hAnsi="仿宋" w:eastAsia="仿宋" w:cs="仿宋"/>
          <w:sz w:val="32"/>
          <w:szCs w:val="32"/>
        </w:rPr>
        <w:t>湘人社规〔</w:t>
      </w:r>
      <w:r>
        <w:rPr>
          <w:rFonts w:hint="eastAsia" w:ascii="Times New Roman" w:hAnsi="Times New Roman" w:eastAsia="仿宋" w:cs="Times New Roman"/>
          <w:spacing w:val="-10"/>
          <w:kern w:val="0"/>
          <w:sz w:val="32"/>
          <w:szCs w:val="32"/>
        </w:rPr>
        <w:t>2026</w:t>
      </w:r>
      <w:r>
        <w:rPr>
          <w:rFonts w:hint="eastAsia" w:ascii="仿宋" w:hAnsi="仿宋" w:eastAsia="仿宋" w:cs="仿宋"/>
          <w:sz w:val="32"/>
          <w:szCs w:val="32"/>
        </w:rPr>
        <w:t>〕</w:t>
      </w:r>
      <w:r>
        <w:rPr>
          <w:rFonts w:hint="eastAsia" w:ascii="Times New Roman" w:hAnsi="Times New Roman" w:eastAsia="仿宋" w:cs="Times New Roman"/>
          <w:spacing w:val="-10"/>
          <w:kern w:val="0"/>
          <w:sz w:val="32"/>
          <w:szCs w:val="32"/>
          <w:lang w:val="en-US" w:eastAsia="zh-CN"/>
        </w:rPr>
        <w:t>13</w:t>
      </w:r>
      <w:r>
        <w:rPr>
          <w:rFonts w:hint="eastAsia" w:ascii="仿宋" w:hAnsi="仿宋" w:eastAsia="仿宋" w:cs="仿宋"/>
          <w:sz w:val="32"/>
          <w:szCs w:val="32"/>
        </w:rPr>
        <w:t>号</w:t>
      </w:r>
    </w:p>
    <w:p w14:paraId="0506DE45">
      <w:pPr>
        <w:pStyle w:val="2"/>
        <w:rPr>
          <w:rFonts w:hint="eastAsia" w:ascii="方正小标宋简体" w:hAnsi="方正小标宋简体" w:eastAsia="方正小标宋简体" w:cs="方正小标宋简体"/>
          <w:color w:val="auto"/>
          <w:kern w:val="0"/>
          <w:sz w:val="44"/>
          <w:szCs w:val="44"/>
          <w:lang w:val="en-US" w:eastAsia="zh-CN" w:bidi="ar"/>
        </w:rPr>
      </w:pPr>
    </w:p>
    <w:p w14:paraId="4AC4A3AF">
      <w:pPr>
        <w:pStyle w:val="2"/>
        <w:rPr>
          <w:rFonts w:hint="eastAsia" w:ascii="方正小标宋简体" w:hAnsi="方正小标宋简体" w:eastAsia="方正小标宋简体" w:cs="方正小标宋简体"/>
          <w:color w:val="auto"/>
          <w:kern w:val="0"/>
          <w:sz w:val="44"/>
          <w:szCs w:val="44"/>
          <w:lang w:val="en-US" w:eastAsia="zh-CN" w:bidi="ar"/>
        </w:rPr>
      </w:pPr>
    </w:p>
    <w:p w14:paraId="518C01AE">
      <w:pPr>
        <w:spacing w:line="700" w:lineRule="exact"/>
        <w:ind w:firstLine="0" w:firstLineChars="0"/>
        <w:jc w:val="center"/>
        <w:rPr>
          <w:rFonts w:hint="eastAsia" w:ascii="方正小标宋简体" w:hAnsi="方正小标宋简体" w:eastAsia="方正小标宋简体" w:cs="方正小标宋简体"/>
          <w:color w:val="auto"/>
          <w:kern w:val="0"/>
          <w:sz w:val="44"/>
          <w:szCs w:val="44"/>
          <w:lang w:val="en-US" w:eastAsia="zh-CN" w:bidi="ar"/>
        </w:rPr>
      </w:pPr>
      <w:r>
        <w:rPr>
          <w:rFonts w:hint="eastAsia" w:ascii="方正小标宋简体" w:hAnsi="方正小标宋简体" w:eastAsia="方正小标宋简体" w:cs="方正小标宋简体"/>
          <w:color w:val="auto"/>
          <w:kern w:val="0"/>
          <w:sz w:val="44"/>
          <w:szCs w:val="44"/>
          <w:lang w:val="en-US" w:eastAsia="zh-CN" w:bidi="ar"/>
        </w:rPr>
        <w:t xml:space="preserve">湖南省人力资源和社会保障厅 </w:t>
      </w:r>
    </w:p>
    <w:p w14:paraId="185A2860">
      <w:pPr>
        <w:spacing w:line="700" w:lineRule="exact"/>
        <w:ind w:firstLine="0" w:firstLineChars="0"/>
        <w:jc w:val="center"/>
        <w:rPr>
          <w:rFonts w:hint="eastAsia" w:ascii="方正小标宋简体" w:hAnsi="方正小标宋简体" w:eastAsia="方正小标宋简体" w:cs="方正小标宋简体"/>
          <w:color w:val="auto"/>
          <w:kern w:val="0"/>
          <w:sz w:val="44"/>
          <w:szCs w:val="44"/>
          <w:lang w:val="en-US" w:eastAsia="zh-CN" w:bidi="ar"/>
        </w:rPr>
      </w:pPr>
      <w:r>
        <w:rPr>
          <w:rFonts w:hint="eastAsia" w:ascii="方正小标宋简体" w:hAnsi="方正小标宋简体" w:eastAsia="方正小标宋简体" w:cs="方正小标宋简体"/>
          <w:color w:val="auto"/>
          <w:kern w:val="0"/>
          <w:sz w:val="44"/>
          <w:szCs w:val="44"/>
          <w:lang w:val="en-US" w:eastAsia="zh-CN" w:bidi="ar"/>
        </w:rPr>
        <w:t xml:space="preserve">湖南省教育厅 湖南省财政厅 </w:t>
      </w:r>
    </w:p>
    <w:p w14:paraId="04027373">
      <w:pPr>
        <w:spacing w:line="700" w:lineRule="exact"/>
        <w:ind w:firstLine="0" w:firstLineChars="0"/>
        <w:jc w:val="center"/>
        <w:rPr>
          <w:rFonts w:hint="eastAsia" w:ascii="方正小标宋简体" w:hAnsi="方正小标宋简体" w:eastAsia="方正小标宋简体" w:cs="方正小标宋简体"/>
          <w:color w:val="auto"/>
          <w:kern w:val="0"/>
          <w:sz w:val="44"/>
          <w:szCs w:val="44"/>
          <w:lang w:val="en-US" w:eastAsia="zh-CN" w:bidi="ar"/>
        </w:rPr>
      </w:pPr>
      <w:r>
        <w:rPr>
          <w:rFonts w:hint="eastAsia" w:ascii="方正小标宋简体" w:hAnsi="方正小标宋简体" w:eastAsia="方正小标宋简体" w:cs="方正小标宋简体"/>
          <w:color w:val="auto"/>
          <w:kern w:val="0"/>
          <w:sz w:val="44"/>
          <w:szCs w:val="44"/>
          <w:lang w:val="en-US" w:eastAsia="zh-CN" w:bidi="ar"/>
        </w:rPr>
        <w:t>国家税务总局湖南省税务局</w:t>
      </w:r>
    </w:p>
    <w:p w14:paraId="4B22C561">
      <w:pPr>
        <w:spacing w:line="700" w:lineRule="exact"/>
        <w:ind w:firstLine="0" w:firstLineChars="0"/>
        <w:jc w:val="center"/>
        <w:rPr>
          <w:rFonts w:hint="eastAsia" w:ascii="方正小标宋简体" w:hAnsi="方正小标宋简体" w:eastAsia="方正小标宋简体" w:cs="方正小标宋简体"/>
          <w:color w:val="auto"/>
          <w:kern w:val="0"/>
          <w:sz w:val="44"/>
          <w:szCs w:val="44"/>
          <w:lang w:val="en-US" w:eastAsia="zh-CN" w:bidi="ar"/>
        </w:rPr>
      </w:pPr>
      <w:r>
        <w:rPr>
          <w:rFonts w:hint="eastAsia" w:ascii="方正小标宋简体" w:hAnsi="方正小标宋简体" w:eastAsia="方正小标宋简体" w:cs="方正小标宋简体"/>
          <w:color w:val="auto"/>
          <w:kern w:val="0"/>
          <w:sz w:val="44"/>
          <w:szCs w:val="44"/>
          <w:lang w:val="en-US" w:eastAsia="zh-CN" w:bidi="ar"/>
        </w:rPr>
        <w:t>关于失业保险支持企业稳岗扩岗的通知</w:t>
      </w:r>
    </w:p>
    <w:p w14:paraId="2E1164C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 w:cs="Times New Roman"/>
          <w:kern w:val="0"/>
          <w:sz w:val="32"/>
          <w:szCs w:val="32"/>
          <w:lang w:val="en-US" w:eastAsia="zh-CN" w:bidi="ar"/>
        </w:rPr>
      </w:pPr>
    </w:p>
    <w:p w14:paraId="7A59BC57">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仿宋" w:cs="Times New Roman"/>
          <w:kern w:val="0"/>
          <w:sz w:val="32"/>
          <w:szCs w:val="32"/>
          <w:lang w:val="en-US" w:eastAsia="zh-CN" w:bidi="ar"/>
        </w:rPr>
      </w:pPr>
      <w:r>
        <w:rPr>
          <w:rFonts w:hint="eastAsia" w:ascii="Times New Roman" w:hAnsi="Times New Roman" w:eastAsia="仿宋" w:cs="Times New Roman"/>
          <w:kern w:val="0"/>
          <w:sz w:val="32"/>
          <w:szCs w:val="32"/>
          <w:lang w:val="en-US" w:eastAsia="zh-CN" w:bidi="ar"/>
        </w:rPr>
        <w:t>各市</w:t>
      </w:r>
      <w:r>
        <w:rPr>
          <w:rFonts w:hint="eastAsia" w:cs="Times New Roman"/>
          <w:kern w:val="0"/>
          <w:sz w:val="32"/>
          <w:szCs w:val="32"/>
          <w:lang w:val="en-US" w:eastAsia="zh-CN" w:bidi="ar"/>
        </w:rPr>
        <w:t>（</w:t>
      </w:r>
      <w:r>
        <w:rPr>
          <w:rFonts w:hint="eastAsia" w:ascii="Times New Roman" w:hAnsi="Times New Roman" w:eastAsia="仿宋" w:cs="Times New Roman"/>
          <w:kern w:val="0"/>
          <w:sz w:val="32"/>
          <w:szCs w:val="32"/>
          <w:lang w:val="en-US" w:eastAsia="zh-CN" w:bidi="ar"/>
        </w:rPr>
        <w:t>州</w:t>
      </w:r>
      <w:r>
        <w:rPr>
          <w:rFonts w:hint="eastAsia" w:cs="Times New Roman"/>
          <w:kern w:val="0"/>
          <w:sz w:val="32"/>
          <w:szCs w:val="32"/>
          <w:lang w:val="en-US" w:eastAsia="zh-CN" w:bidi="ar"/>
        </w:rPr>
        <w:t>）</w:t>
      </w:r>
      <w:r>
        <w:rPr>
          <w:rFonts w:hint="eastAsia" w:ascii="Times New Roman" w:hAnsi="Times New Roman" w:eastAsia="仿宋" w:cs="Times New Roman"/>
          <w:kern w:val="0"/>
          <w:sz w:val="32"/>
          <w:szCs w:val="32"/>
          <w:lang w:val="en-US" w:eastAsia="zh-CN" w:bidi="ar"/>
        </w:rPr>
        <w:t>人力资源和社会保障局、</w:t>
      </w:r>
      <w:r>
        <w:rPr>
          <w:rFonts w:hint="eastAsia" w:cs="Times New Roman"/>
          <w:kern w:val="0"/>
          <w:sz w:val="32"/>
          <w:szCs w:val="32"/>
          <w:lang w:val="en-US" w:eastAsia="zh-CN" w:bidi="ar"/>
        </w:rPr>
        <w:t>教育局、</w:t>
      </w:r>
      <w:r>
        <w:rPr>
          <w:rFonts w:hint="eastAsia" w:ascii="Times New Roman" w:hAnsi="Times New Roman" w:eastAsia="仿宋" w:cs="Times New Roman"/>
          <w:kern w:val="0"/>
          <w:sz w:val="32"/>
          <w:szCs w:val="32"/>
          <w:lang w:val="en-US" w:eastAsia="zh-CN" w:bidi="ar"/>
        </w:rPr>
        <w:t>财政局，国家税务总局湖南省各市州税务局、国家税务总局湖南湘江新区税务局：</w:t>
      </w:r>
    </w:p>
    <w:p w14:paraId="3B3DD7F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 w:cs="Times New Roman"/>
          <w:kern w:val="0"/>
          <w:sz w:val="32"/>
          <w:szCs w:val="32"/>
          <w:lang w:val="en-US" w:eastAsia="zh-CN" w:bidi="ar"/>
        </w:rPr>
      </w:pPr>
      <w:r>
        <w:rPr>
          <w:rFonts w:hint="default" w:ascii="Times New Roman" w:hAnsi="Times New Roman" w:eastAsia="仿宋" w:cs="Times New Roman"/>
          <w:kern w:val="0"/>
          <w:sz w:val="32"/>
          <w:szCs w:val="32"/>
          <w:lang w:val="en-US" w:eastAsia="zh-CN" w:bidi="ar"/>
        </w:rPr>
        <w:t xml:space="preserve">根据《人力资源社会保障部 </w:t>
      </w:r>
      <w:r>
        <w:rPr>
          <w:rFonts w:hint="eastAsia" w:ascii="Times New Roman" w:hAnsi="Times New Roman" w:eastAsia="仿宋" w:cs="Times New Roman"/>
          <w:kern w:val="0"/>
          <w:sz w:val="32"/>
          <w:szCs w:val="32"/>
          <w:lang w:val="en-US" w:eastAsia="zh-CN" w:bidi="ar"/>
        </w:rPr>
        <w:t xml:space="preserve">教育部 </w:t>
      </w:r>
      <w:r>
        <w:rPr>
          <w:rFonts w:hint="default" w:ascii="Times New Roman" w:hAnsi="Times New Roman" w:eastAsia="仿宋" w:cs="Times New Roman"/>
          <w:kern w:val="0"/>
          <w:sz w:val="32"/>
          <w:szCs w:val="32"/>
          <w:lang w:val="en-US" w:eastAsia="zh-CN" w:bidi="ar"/>
        </w:rPr>
        <w:t xml:space="preserve">财政部 </w:t>
      </w:r>
      <w:r>
        <w:rPr>
          <w:rFonts w:hint="eastAsia" w:ascii="Times New Roman" w:hAnsi="Times New Roman" w:eastAsia="仿宋" w:cs="Times New Roman"/>
          <w:kern w:val="0"/>
          <w:sz w:val="32"/>
          <w:szCs w:val="32"/>
          <w:lang w:val="en-US" w:eastAsia="zh-CN" w:bidi="ar"/>
        </w:rPr>
        <w:t>国家</w:t>
      </w:r>
      <w:r>
        <w:rPr>
          <w:rFonts w:hint="default" w:ascii="Times New Roman" w:hAnsi="Times New Roman" w:eastAsia="仿宋" w:cs="Times New Roman"/>
          <w:kern w:val="0"/>
          <w:sz w:val="32"/>
          <w:szCs w:val="32"/>
          <w:lang w:val="en-US" w:eastAsia="zh-CN" w:bidi="ar"/>
        </w:rPr>
        <w:t>税务总局关于</w:t>
      </w:r>
      <w:r>
        <w:rPr>
          <w:rFonts w:hint="eastAsia" w:ascii="Times New Roman" w:hAnsi="Times New Roman" w:eastAsia="仿宋" w:cs="Times New Roman"/>
          <w:kern w:val="0"/>
          <w:sz w:val="32"/>
          <w:szCs w:val="32"/>
          <w:lang w:val="en-US" w:eastAsia="zh-CN" w:bidi="ar"/>
        </w:rPr>
        <w:t>失业保险支持企业稳岗扩岗</w:t>
      </w:r>
      <w:r>
        <w:rPr>
          <w:rFonts w:hint="default" w:ascii="Times New Roman" w:hAnsi="Times New Roman" w:eastAsia="仿宋" w:cs="Times New Roman"/>
          <w:kern w:val="0"/>
          <w:sz w:val="32"/>
          <w:szCs w:val="32"/>
          <w:lang w:val="en-US" w:eastAsia="zh-CN" w:bidi="ar"/>
        </w:rPr>
        <w:t>的通知》（人社部发〔2026〕</w:t>
      </w:r>
      <w:r>
        <w:rPr>
          <w:rFonts w:hint="eastAsia" w:ascii="Times New Roman" w:hAnsi="Times New Roman" w:eastAsia="仿宋" w:cs="Times New Roman"/>
          <w:kern w:val="0"/>
          <w:sz w:val="32"/>
          <w:szCs w:val="32"/>
          <w:lang w:val="en-US" w:eastAsia="zh-CN" w:bidi="ar"/>
        </w:rPr>
        <w:t>39</w:t>
      </w:r>
      <w:r>
        <w:rPr>
          <w:rFonts w:hint="default" w:ascii="Times New Roman" w:hAnsi="Times New Roman" w:eastAsia="仿宋" w:cs="Times New Roman"/>
          <w:kern w:val="0"/>
          <w:sz w:val="32"/>
          <w:szCs w:val="32"/>
          <w:lang w:val="en-US" w:eastAsia="zh-CN" w:bidi="ar"/>
        </w:rPr>
        <w:t>号）精神</w:t>
      </w:r>
      <w:r>
        <w:rPr>
          <w:rFonts w:hint="eastAsia" w:ascii="Times New Roman" w:hAnsi="Times New Roman" w:eastAsia="仿宋" w:cs="Times New Roman"/>
          <w:kern w:val="0"/>
          <w:sz w:val="32"/>
          <w:szCs w:val="32"/>
          <w:lang w:val="en-US" w:eastAsia="zh-CN" w:bidi="ar"/>
        </w:rPr>
        <w:t>，</w:t>
      </w:r>
      <w:r>
        <w:rPr>
          <w:rFonts w:hint="default" w:ascii="Times New Roman" w:hAnsi="Times New Roman" w:eastAsia="仿宋" w:cs="Times New Roman"/>
          <w:kern w:val="0"/>
          <w:sz w:val="32"/>
          <w:szCs w:val="32"/>
          <w:lang w:val="en-US" w:eastAsia="zh-CN" w:bidi="ar"/>
        </w:rPr>
        <w:t>为</w:t>
      </w:r>
      <w:r>
        <w:rPr>
          <w:rFonts w:hint="eastAsia" w:ascii="Times New Roman" w:hAnsi="Times New Roman" w:eastAsia="仿宋" w:cs="Times New Roman"/>
          <w:kern w:val="0"/>
          <w:sz w:val="32"/>
          <w:szCs w:val="32"/>
          <w:lang w:val="en-US" w:eastAsia="zh-CN" w:bidi="ar"/>
        </w:rPr>
        <w:t>加快落实</w:t>
      </w:r>
      <w:r>
        <w:rPr>
          <w:rFonts w:hint="default" w:ascii="Times New Roman" w:hAnsi="Times New Roman" w:eastAsia="仿宋" w:cs="Times New Roman"/>
          <w:kern w:val="0"/>
          <w:sz w:val="32"/>
          <w:szCs w:val="32"/>
          <w:lang w:val="en-US" w:eastAsia="zh-CN" w:bidi="ar"/>
        </w:rPr>
        <w:t>失业保险</w:t>
      </w:r>
      <w:r>
        <w:rPr>
          <w:rFonts w:hint="eastAsia" w:ascii="Times New Roman" w:hAnsi="Times New Roman" w:eastAsia="仿宋" w:cs="Times New Roman"/>
          <w:kern w:val="0"/>
          <w:sz w:val="32"/>
          <w:szCs w:val="32"/>
          <w:lang w:val="en-US" w:eastAsia="zh-CN" w:bidi="ar"/>
        </w:rPr>
        <w:t>支持企业稳岗扩岗</w:t>
      </w:r>
      <w:r>
        <w:rPr>
          <w:rFonts w:hint="default" w:ascii="Times New Roman" w:hAnsi="Times New Roman" w:eastAsia="仿宋" w:cs="Times New Roman"/>
          <w:kern w:val="0"/>
          <w:sz w:val="32"/>
          <w:szCs w:val="32"/>
          <w:lang w:val="en-US" w:eastAsia="zh-CN" w:bidi="ar"/>
        </w:rPr>
        <w:t>政策，结合我省实际，</w:t>
      </w:r>
      <w:r>
        <w:rPr>
          <w:rFonts w:hint="eastAsia" w:ascii="Times New Roman" w:hAnsi="Times New Roman" w:eastAsia="仿宋" w:cs="Times New Roman"/>
          <w:kern w:val="0"/>
          <w:sz w:val="32"/>
          <w:szCs w:val="32"/>
          <w:lang w:val="en-US" w:eastAsia="zh-CN" w:bidi="ar"/>
        </w:rPr>
        <w:t>进一步明确</w:t>
      </w:r>
      <w:r>
        <w:rPr>
          <w:rFonts w:hint="default" w:ascii="Times New Roman" w:hAnsi="Times New Roman" w:eastAsia="仿宋" w:cs="Times New Roman"/>
          <w:kern w:val="0"/>
          <w:sz w:val="32"/>
          <w:szCs w:val="32"/>
          <w:lang w:val="en-US" w:eastAsia="zh-CN" w:bidi="ar"/>
        </w:rPr>
        <w:t>有关事项如下：</w:t>
      </w:r>
    </w:p>
    <w:p w14:paraId="75B5F39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cs="Times New Roman"/>
          <w:kern w:val="0"/>
          <w:sz w:val="32"/>
          <w:szCs w:val="32"/>
          <w:lang w:val="en-US" w:eastAsia="zh-CN" w:bidi="ar"/>
        </w:rPr>
      </w:pPr>
      <w:r>
        <w:rPr>
          <w:rFonts w:hint="default" w:ascii="Times New Roman" w:hAnsi="Times New Roman" w:eastAsia="黑体" w:cs="Times New Roman"/>
          <w:color w:val="auto"/>
          <w:kern w:val="2"/>
          <w:sz w:val="32"/>
          <w:szCs w:val="32"/>
          <w:u w:val="none"/>
          <w:lang w:val="en-US" w:eastAsia="zh-CN" w:bidi="ar-SA"/>
        </w:rPr>
        <w:t>一、延续实施稳岗返还政策。</w:t>
      </w:r>
      <w:r>
        <w:rPr>
          <w:rFonts w:hint="default" w:ascii="Times New Roman" w:hAnsi="Times New Roman" w:eastAsia="仿宋" w:cs="Times New Roman"/>
          <w:kern w:val="0"/>
          <w:sz w:val="32"/>
          <w:szCs w:val="32"/>
          <w:lang w:val="en-US" w:eastAsia="zh-CN" w:bidi="ar"/>
        </w:rPr>
        <w:t>参保企业</w:t>
      </w:r>
      <w:r>
        <w:rPr>
          <w:rFonts w:hint="eastAsia" w:cs="Times New Roman"/>
          <w:kern w:val="0"/>
          <w:sz w:val="32"/>
          <w:szCs w:val="32"/>
          <w:lang w:val="en-US" w:eastAsia="zh-CN" w:bidi="ar"/>
        </w:rPr>
        <w:t>上年度</w:t>
      </w:r>
      <w:r>
        <w:rPr>
          <w:rFonts w:hint="default" w:ascii="Times New Roman" w:hAnsi="Times New Roman" w:eastAsia="仿宋" w:cs="Times New Roman"/>
          <w:kern w:val="0"/>
          <w:sz w:val="32"/>
          <w:szCs w:val="32"/>
          <w:lang w:val="en-US" w:eastAsia="zh-CN" w:bidi="ar"/>
        </w:rPr>
        <w:t>足额缴纳失业保险费12个月且无历史欠费，</w:t>
      </w:r>
      <w:r>
        <w:rPr>
          <w:rFonts w:hint="eastAsia" w:cs="Times New Roman"/>
          <w:kern w:val="0"/>
          <w:sz w:val="32"/>
          <w:szCs w:val="32"/>
          <w:lang w:val="en-US" w:eastAsia="zh-CN" w:bidi="ar"/>
        </w:rPr>
        <w:t>裁员率符合国家规定的，</w:t>
      </w:r>
      <w:r>
        <w:rPr>
          <w:rFonts w:hint="default" w:ascii="Times New Roman" w:hAnsi="Times New Roman" w:eastAsia="仿宋" w:cs="Times New Roman"/>
          <w:kern w:val="0"/>
          <w:sz w:val="32"/>
          <w:szCs w:val="32"/>
          <w:lang w:val="en-US" w:eastAsia="zh-CN" w:bidi="ar"/>
        </w:rPr>
        <w:t>可以享受失业保险稳岗返还。</w:t>
      </w:r>
      <w:r>
        <w:rPr>
          <w:rFonts w:hint="eastAsia" w:cs="Times New Roman"/>
          <w:kern w:val="0"/>
          <w:sz w:val="32"/>
          <w:szCs w:val="32"/>
          <w:lang w:val="en-US" w:eastAsia="zh-CN" w:bidi="ar"/>
        </w:rPr>
        <w:t>严重失信单位不予享受稳岗返还。</w:t>
      </w:r>
      <w:r>
        <w:rPr>
          <w:rFonts w:hint="default" w:ascii="Times New Roman" w:hAnsi="Times New Roman" w:eastAsia="仿宋" w:cs="Times New Roman"/>
          <w:kern w:val="0"/>
          <w:sz w:val="32"/>
          <w:szCs w:val="32"/>
          <w:lang w:val="en-US" w:eastAsia="zh-CN" w:bidi="ar"/>
        </w:rPr>
        <w:t>大型企业</w:t>
      </w:r>
      <w:r>
        <w:rPr>
          <w:rFonts w:hint="eastAsia" w:cs="Times New Roman"/>
          <w:kern w:val="0"/>
          <w:sz w:val="32"/>
          <w:szCs w:val="32"/>
          <w:lang w:val="en-US" w:eastAsia="zh-CN" w:bidi="ar"/>
        </w:rPr>
        <w:t>、</w:t>
      </w:r>
      <w:r>
        <w:rPr>
          <w:rFonts w:hint="default" w:ascii="Times New Roman" w:hAnsi="Times New Roman" w:eastAsia="仿宋" w:cs="Times New Roman"/>
          <w:kern w:val="0"/>
          <w:sz w:val="32"/>
          <w:szCs w:val="32"/>
          <w:lang w:val="en-US" w:eastAsia="zh-CN" w:bidi="ar"/>
        </w:rPr>
        <w:t>中小微企业</w:t>
      </w:r>
      <w:r>
        <w:rPr>
          <w:rFonts w:hint="eastAsia" w:cs="Times New Roman"/>
          <w:kern w:val="0"/>
          <w:sz w:val="32"/>
          <w:szCs w:val="32"/>
          <w:lang w:val="en-US" w:eastAsia="zh-CN" w:bidi="ar"/>
        </w:rPr>
        <w:t>分别</w:t>
      </w:r>
      <w:r>
        <w:rPr>
          <w:rFonts w:hint="default" w:ascii="Times New Roman" w:hAnsi="Times New Roman" w:eastAsia="仿宋" w:cs="Times New Roman"/>
          <w:kern w:val="0"/>
          <w:sz w:val="32"/>
          <w:szCs w:val="32"/>
          <w:lang w:val="en-US" w:eastAsia="zh-CN" w:bidi="ar"/>
        </w:rPr>
        <w:t>按30%</w:t>
      </w:r>
      <w:r>
        <w:rPr>
          <w:rFonts w:hint="eastAsia" w:cs="Times New Roman"/>
          <w:kern w:val="0"/>
          <w:sz w:val="32"/>
          <w:szCs w:val="32"/>
          <w:lang w:val="en-US" w:eastAsia="zh-CN" w:bidi="ar"/>
        </w:rPr>
        <w:t>、</w:t>
      </w:r>
      <w:r>
        <w:rPr>
          <w:rFonts w:hint="default" w:ascii="Times New Roman" w:hAnsi="Times New Roman" w:eastAsia="仿宋" w:cs="Times New Roman"/>
          <w:kern w:val="0"/>
          <w:sz w:val="32"/>
          <w:szCs w:val="32"/>
          <w:lang w:val="en-US" w:eastAsia="zh-CN" w:bidi="ar"/>
        </w:rPr>
        <w:t>60%返还。</w:t>
      </w:r>
      <w:r>
        <w:rPr>
          <w:rFonts w:hint="eastAsia" w:cs="Times New Roman"/>
          <w:kern w:val="0"/>
          <w:sz w:val="32"/>
          <w:szCs w:val="32"/>
          <w:lang w:val="en-US" w:eastAsia="zh-CN" w:bidi="ar"/>
        </w:rPr>
        <w:t>社会组织（包括社会团体、基金会和民办非企业单位）、律师事务所、会计师事务所、以单位形式参保的个体工商户按30%返还。资金用途按国家规定执行。</w:t>
      </w:r>
    </w:p>
    <w:p w14:paraId="014B630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黑体" w:cs="Times New Roman"/>
          <w:color w:val="auto"/>
          <w:kern w:val="2"/>
          <w:sz w:val="32"/>
          <w:szCs w:val="32"/>
          <w:u w:val="none"/>
          <w:lang w:val="en-US" w:eastAsia="zh-CN" w:bidi="ar-SA"/>
        </w:rPr>
        <w:t>二、延续实施一次性扩岗补助政策。</w:t>
      </w:r>
      <w:r>
        <w:rPr>
          <w:rFonts w:hint="default" w:ascii="Times New Roman" w:hAnsi="Times New Roman" w:cs="Times New Roman"/>
          <w:kern w:val="0"/>
          <w:sz w:val="32"/>
          <w:szCs w:val="32"/>
          <w:lang w:val="en-US" w:eastAsia="zh-CN" w:bidi="ar"/>
        </w:rPr>
        <w:t>对2026年度按国家规定招用三类人员，并签订劳动合同、为其足额缴纳失业、工伤、职工养老保险费满3个月的企业和社会组织，按</w:t>
      </w:r>
      <w:r>
        <w:rPr>
          <w:rFonts w:hint="eastAsia" w:ascii="Times New Roman" w:hAnsi="Times New Roman" w:cs="Times New Roman"/>
          <w:kern w:val="0"/>
          <w:sz w:val="32"/>
          <w:szCs w:val="32"/>
          <w:lang w:val="en-US" w:eastAsia="zh-CN" w:bidi="ar"/>
        </w:rPr>
        <w:t>每招用1人</w:t>
      </w:r>
      <w:r>
        <w:rPr>
          <w:rFonts w:hint="default" w:ascii="Times New Roman" w:hAnsi="Times New Roman" w:cs="Times New Roman"/>
          <w:kern w:val="0"/>
          <w:sz w:val="32"/>
          <w:szCs w:val="32"/>
          <w:lang w:val="en-US" w:eastAsia="zh-CN" w:bidi="ar"/>
        </w:rPr>
        <w:t>1500元的标准发放一次性扩岗补助。其中，毕业年度未</w:t>
      </w:r>
      <w:r>
        <w:rPr>
          <w:rFonts w:hint="default" w:ascii="Times New Roman" w:hAnsi="Times New Roman" w:eastAsia="仿宋" w:cs="Times New Roman"/>
          <w:kern w:val="0"/>
          <w:sz w:val="32"/>
          <w:szCs w:val="32"/>
          <w:lang w:val="en-US" w:eastAsia="zh-CN" w:bidi="ar"/>
        </w:rPr>
        <w:t>就业高校毕业生毕业时间不早于2026年1月1日，离校两年内未就业高校毕业生毕业时间不早于2024年1月1日</w:t>
      </w:r>
      <w:r>
        <w:rPr>
          <w:rFonts w:hint="eastAsia" w:cs="Times New Roman"/>
          <w:kern w:val="0"/>
          <w:sz w:val="32"/>
          <w:szCs w:val="32"/>
          <w:lang w:val="en-US" w:eastAsia="zh-CN" w:bidi="ar"/>
        </w:rPr>
        <w:t>，16</w:t>
      </w:r>
      <w:r>
        <w:rPr>
          <w:rFonts w:hint="default" w:ascii="Times New Roman" w:hAnsi="Times New Roman" w:eastAsia="仿宋" w:cs="Times New Roman"/>
          <w:kern w:val="0"/>
          <w:sz w:val="32"/>
          <w:szCs w:val="32"/>
          <w:lang w:val="en-US" w:eastAsia="zh-CN" w:bidi="ar"/>
        </w:rPr>
        <w:t>－</w:t>
      </w:r>
      <w:r>
        <w:rPr>
          <w:rFonts w:hint="eastAsia" w:cs="Times New Roman"/>
          <w:kern w:val="0"/>
          <w:sz w:val="32"/>
          <w:szCs w:val="32"/>
          <w:lang w:val="en-US" w:eastAsia="zh-CN" w:bidi="ar"/>
        </w:rPr>
        <w:t>24岁登记失业青年是指企业招用时年龄为16</w:t>
      </w:r>
      <w:r>
        <w:rPr>
          <w:rFonts w:hint="default" w:ascii="Times New Roman" w:hAnsi="Times New Roman" w:eastAsia="仿宋" w:cs="Times New Roman"/>
          <w:kern w:val="0"/>
          <w:sz w:val="32"/>
          <w:szCs w:val="32"/>
          <w:lang w:val="en-US" w:eastAsia="zh-CN" w:bidi="ar"/>
        </w:rPr>
        <w:t>－</w:t>
      </w:r>
      <w:r>
        <w:rPr>
          <w:rFonts w:hint="eastAsia" w:cs="Times New Roman"/>
          <w:kern w:val="0"/>
          <w:sz w:val="32"/>
          <w:szCs w:val="32"/>
          <w:lang w:val="en-US" w:eastAsia="zh-CN" w:bidi="ar"/>
        </w:rPr>
        <w:t>24岁且在我省办理失业登记人员</w:t>
      </w:r>
      <w:r>
        <w:rPr>
          <w:rFonts w:hint="default" w:ascii="Times New Roman" w:hAnsi="Times New Roman" w:eastAsia="仿宋" w:cs="Times New Roman"/>
          <w:kern w:val="0"/>
          <w:sz w:val="32"/>
          <w:szCs w:val="32"/>
          <w:lang w:val="en-US" w:eastAsia="zh-CN" w:bidi="ar"/>
        </w:rPr>
        <w:t>。</w:t>
      </w:r>
      <w:r>
        <w:rPr>
          <w:rFonts w:hint="default" w:ascii="Times New Roman" w:hAnsi="Times New Roman" w:eastAsia="仿宋" w:cs="Times New Roman"/>
          <w:sz w:val="32"/>
          <w:szCs w:val="32"/>
        </w:rPr>
        <w:t>同一人员身份信息只能享受1次一次性扩岗补助，不得跨企业、跨年度、跨地区、跨资金渠道重复享受。</w:t>
      </w:r>
    </w:p>
    <w:p w14:paraId="0339192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 w:cs="Times New Roman"/>
          <w:kern w:val="0"/>
          <w:sz w:val="32"/>
          <w:szCs w:val="32"/>
          <w:lang w:val="en-US" w:eastAsia="zh-CN" w:bidi="ar"/>
        </w:rPr>
      </w:pPr>
      <w:r>
        <w:rPr>
          <w:rFonts w:hint="default" w:ascii="Times New Roman" w:hAnsi="Times New Roman" w:eastAsia="黑体" w:cs="Times New Roman"/>
          <w:color w:val="auto"/>
          <w:kern w:val="2"/>
          <w:sz w:val="32"/>
          <w:szCs w:val="32"/>
          <w:u w:val="none"/>
          <w:lang w:val="en-US" w:eastAsia="zh-CN" w:bidi="ar-SA"/>
        </w:rPr>
        <w:t>三、优化技能提升补贴政策。</w:t>
      </w:r>
      <w:r>
        <w:rPr>
          <w:rFonts w:hint="eastAsia" w:cs="Times New Roman"/>
          <w:kern w:val="0"/>
          <w:sz w:val="32"/>
          <w:szCs w:val="32"/>
          <w:lang w:val="en-US" w:eastAsia="zh-CN" w:bidi="ar"/>
        </w:rPr>
        <w:t>符合国家规定的人员，</w:t>
      </w:r>
      <w:r>
        <w:rPr>
          <w:rFonts w:hint="default" w:ascii="Times New Roman" w:hAnsi="Times New Roman" w:eastAsia="仿宋" w:cs="Times New Roman"/>
          <w:kern w:val="0"/>
          <w:sz w:val="32"/>
          <w:szCs w:val="32"/>
          <w:lang w:val="en-US" w:eastAsia="zh-CN" w:bidi="ar"/>
        </w:rPr>
        <w:t>取得列入我省急需紧缺职业（工种）目录、职业中类与所在企业行业类别一致、数字和绿色职业等级证书之一的，可在证书核发之日起12个月内申请技能提升补贴，逾期不予受理。初级（五级）、中级（四级）、高级（三级）职业资格证书或职业技能等级证书分别按1000元、1500元、2000元的标准</w:t>
      </w:r>
      <w:r>
        <w:rPr>
          <w:rFonts w:hint="eastAsia" w:cs="Times New Roman"/>
          <w:kern w:val="0"/>
          <w:sz w:val="32"/>
          <w:szCs w:val="32"/>
          <w:lang w:val="en-US" w:eastAsia="zh-CN" w:bidi="ar"/>
        </w:rPr>
        <w:t>领取</w:t>
      </w:r>
      <w:r>
        <w:rPr>
          <w:rFonts w:hint="default" w:ascii="Times New Roman" w:hAnsi="Times New Roman" w:eastAsia="仿宋" w:cs="Times New Roman"/>
          <w:kern w:val="0"/>
          <w:sz w:val="32"/>
          <w:szCs w:val="32"/>
          <w:lang w:val="en-US" w:eastAsia="zh-CN" w:bidi="ar"/>
        </w:rPr>
        <w:t>。同一职业（工种）同一等级只能申请并享受1次，不得和职业培训补贴重复享受。已持有同一职业（工种）高等级证书或享受相应补贴的，不再享受低等级证书补贴。每人每年可享受1次补贴，对取得多项急需紧缺职业（工种）证书的，在此基础上增加2次补贴次数，共计不超过3次。自</w:t>
      </w:r>
      <w:r>
        <w:rPr>
          <w:rFonts w:hint="eastAsia" w:cs="Times New Roman"/>
          <w:kern w:val="0"/>
          <w:sz w:val="32"/>
          <w:szCs w:val="32"/>
          <w:lang w:val="en-US" w:eastAsia="zh-CN" w:bidi="ar"/>
        </w:rPr>
        <w:t>2026年1月1日起</w:t>
      </w:r>
      <w:r>
        <w:rPr>
          <w:rFonts w:hint="default" w:ascii="Times New Roman" w:hAnsi="Times New Roman" w:eastAsia="仿宋" w:cs="Times New Roman"/>
          <w:kern w:val="0"/>
          <w:sz w:val="32"/>
          <w:szCs w:val="32"/>
          <w:lang w:val="en-US" w:eastAsia="zh-CN" w:bidi="ar"/>
        </w:rPr>
        <w:t>至本通知印发之日前，符合技能提升补贴申领条件</w:t>
      </w:r>
      <w:r>
        <w:rPr>
          <w:rFonts w:hint="eastAsia" w:cs="Times New Roman"/>
          <w:kern w:val="0"/>
          <w:sz w:val="32"/>
          <w:szCs w:val="32"/>
          <w:lang w:val="en-US" w:eastAsia="zh-CN" w:bidi="ar"/>
        </w:rPr>
        <w:t>且提出申领</w:t>
      </w:r>
      <w:r>
        <w:rPr>
          <w:rFonts w:hint="default" w:ascii="Times New Roman" w:hAnsi="Times New Roman" w:eastAsia="仿宋" w:cs="Times New Roman"/>
          <w:kern w:val="0"/>
          <w:sz w:val="32"/>
          <w:szCs w:val="32"/>
          <w:lang w:val="en-US" w:eastAsia="zh-CN" w:bidi="ar"/>
        </w:rPr>
        <w:t>的人员</w:t>
      </w:r>
      <w:r>
        <w:rPr>
          <w:rFonts w:hint="eastAsia" w:cs="Times New Roman"/>
          <w:kern w:val="0"/>
          <w:sz w:val="32"/>
          <w:szCs w:val="32"/>
          <w:lang w:val="en-US" w:eastAsia="zh-CN" w:bidi="ar"/>
        </w:rPr>
        <w:t>，</w:t>
      </w:r>
      <w:r>
        <w:rPr>
          <w:rFonts w:hint="default" w:ascii="Times New Roman" w:hAnsi="Times New Roman" w:eastAsia="仿宋" w:cs="Times New Roman"/>
          <w:kern w:val="0"/>
          <w:sz w:val="32"/>
          <w:szCs w:val="32"/>
          <w:lang w:val="en-US" w:eastAsia="zh-CN" w:bidi="ar"/>
        </w:rPr>
        <w:t>可以</w:t>
      </w:r>
      <w:r>
        <w:rPr>
          <w:rFonts w:hint="eastAsia" w:cs="Times New Roman"/>
          <w:kern w:val="0"/>
          <w:sz w:val="32"/>
          <w:szCs w:val="32"/>
          <w:lang w:val="en-US" w:eastAsia="zh-CN" w:bidi="ar"/>
        </w:rPr>
        <w:t>在通知印发后申领</w:t>
      </w:r>
      <w:r>
        <w:rPr>
          <w:rFonts w:hint="default" w:ascii="Times New Roman" w:hAnsi="Times New Roman" w:eastAsia="仿宋" w:cs="Times New Roman"/>
          <w:kern w:val="0"/>
          <w:sz w:val="32"/>
          <w:szCs w:val="32"/>
          <w:lang w:val="en-US" w:eastAsia="zh-CN" w:bidi="ar"/>
        </w:rPr>
        <w:t>技能提升补贴。</w:t>
      </w:r>
    </w:p>
    <w:p w14:paraId="6C2B5525">
      <w:pPr>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jc w:val="both"/>
        <w:textAlignment w:val="auto"/>
        <w:rPr>
          <w:rFonts w:hint="eastAsia" w:ascii="Times New Roman" w:hAnsi="Times New Roman" w:eastAsia="仿宋" w:cs="Times New Roman"/>
          <w:kern w:val="0"/>
          <w:sz w:val="32"/>
          <w:szCs w:val="32"/>
          <w:lang w:val="en-US" w:eastAsia="zh-CN" w:bidi="ar"/>
        </w:rPr>
      </w:pPr>
      <w:r>
        <w:rPr>
          <w:rFonts w:hint="eastAsia" w:eastAsia="黑体" w:cs="Times New Roman"/>
          <w:color w:val="auto"/>
          <w:kern w:val="2"/>
          <w:sz w:val="32"/>
          <w:szCs w:val="32"/>
          <w:u w:val="none"/>
          <w:lang w:val="en-US" w:eastAsia="zh-CN" w:bidi="ar-SA"/>
        </w:rPr>
        <w:t>四</w:t>
      </w:r>
      <w:r>
        <w:rPr>
          <w:rFonts w:hint="default" w:ascii="Times New Roman" w:hAnsi="Times New Roman" w:eastAsia="黑体" w:cs="Times New Roman"/>
          <w:color w:val="auto"/>
          <w:kern w:val="2"/>
          <w:sz w:val="32"/>
          <w:szCs w:val="32"/>
          <w:u w:val="none"/>
          <w:lang w:val="en-US" w:eastAsia="zh-CN" w:bidi="ar-SA"/>
        </w:rPr>
        <w:t>、提升经办服务质效。</w:t>
      </w:r>
      <w:r>
        <w:rPr>
          <w:rFonts w:hint="eastAsia" w:cs="Times New Roman"/>
          <w:kern w:val="0"/>
          <w:sz w:val="32"/>
          <w:szCs w:val="32"/>
          <w:lang w:val="en-US" w:eastAsia="zh-CN" w:bidi="ar"/>
        </w:rPr>
        <w:t>优化稳岗返还“免申即享”经办模式，</w:t>
      </w:r>
      <w:r>
        <w:rPr>
          <w:rFonts w:hint="default" w:ascii="Times New Roman" w:hAnsi="Times New Roman" w:eastAsia="仿宋" w:cs="Times New Roman"/>
          <w:kern w:val="0"/>
          <w:sz w:val="32"/>
          <w:szCs w:val="32"/>
          <w:lang w:val="en-US" w:eastAsia="zh-CN" w:bidi="ar"/>
        </w:rPr>
        <w:t>通过单位网厅向</w:t>
      </w:r>
      <w:r>
        <w:rPr>
          <w:rFonts w:hint="eastAsia" w:cs="Times New Roman"/>
          <w:kern w:val="0"/>
          <w:sz w:val="32"/>
          <w:szCs w:val="32"/>
          <w:lang w:val="en-US" w:eastAsia="zh-CN" w:bidi="ar"/>
        </w:rPr>
        <w:t>符合条件的企业</w:t>
      </w:r>
      <w:r>
        <w:rPr>
          <w:rFonts w:hint="default" w:ascii="Times New Roman" w:hAnsi="Times New Roman" w:eastAsia="仿宋" w:cs="Times New Roman"/>
          <w:kern w:val="0"/>
          <w:sz w:val="32"/>
          <w:szCs w:val="32"/>
          <w:lang w:val="en-US" w:eastAsia="zh-CN" w:bidi="ar"/>
        </w:rPr>
        <w:t>主动推送政策信息和资金用途</w:t>
      </w:r>
      <w:r>
        <w:rPr>
          <w:rFonts w:hint="eastAsia" w:ascii="Times New Roman" w:hAnsi="Times New Roman" w:eastAsia="仿宋" w:cs="Times New Roman"/>
          <w:kern w:val="0"/>
          <w:sz w:val="32"/>
          <w:szCs w:val="32"/>
          <w:lang w:val="en-US" w:eastAsia="zh-CN" w:bidi="ar"/>
        </w:rPr>
        <w:t>，</w:t>
      </w:r>
      <w:r>
        <w:rPr>
          <w:rFonts w:hint="eastAsia" w:ascii="Times New Roman" w:hAnsi="Times New Roman" w:eastAsia="仿宋" w:cs="Times New Roman"/>
          <w:color w:val="auto"/>
          <w:sz w:val="32"/>
          <w:szCs w:val="32"/>
          <w:u w:val="none"/>
          <w:lang w:val="en-US" w:eastAsia="zh-CN"/>
        </w:rPr>
        <w:t>通过媒体宣传、电话联系、短信通知等方式，提醒</w:t>
      </w:r>
      <w:r>
        <w:rPr>
          <w:rFonts w:hint="eastAsia" w:cs="Times New Roman"/>
          <w:color w:val="auto"/>
          <w:sz w:val="32"/>
          <w:szCs w:val="32"/>
          <w:u w:val="none"/>
          <w:lang w:val="en-US" w:eastAsia="zh-CN"/>
        </w:rPr>
        <w:t>企业及时</w:t>
      </w:r>
      <w:r>
        <w:rPr>
          <w:rFonts w:hint="eastAsia" w:ascii="Times New Roman" w:hAnsi="Times New Roman" w:eastAsia="仿宋" w:cs="Times New Roman"/>
          <w:color w:val="auto"/>
          <w:sz w:val="32"/>
          <w:szCs w:val="32"/>
          <w:u w:val="none"/>
          <w:lang w:val="en-US" w:eastAsia="zh-CN"/>
        </w:rPr>
        <w:t>确认</w:t>
      </w:r>
      <w:r>
        <w:rPr>
          <w:rFonts w:hint="eastAsia" w:cs="Times New Roman"/>
          <w:color w:val="auto"/>
          <w:sz w:val="32"/>
          <w:szCs w:val="32"/>
          <w:u w:val="none"/>
          <w:lang w:val="en-US" w:eastAsia="zh-CN"/>
        </w:rPr>
        <w:t>资金领取相关</w:t>
      </w:r>
      <w:r>
        <w:rPr>
          <w:rFonts w:hint="eastAsia" w:ascii="Times New Roman" w:hAnsi="Times New Roman" w:eastAsia="仿宋" w:cs="Times New Roman"/>
          <w:color w:val="auto"/>
          <w:sz w:val="32"/>
          <w:szCs w:val="32"/>
          <w:u w:val="none"/>
          <w:lang w:val="en-US" w:eastAsia="zh-CN"/>
        </w:rPr>
        <w:t>信息</w:t>
      </w:r>
      <w:r>
        <w:rPr>
          <w:rFonts w:hint="eastAsia" w:cs="Times New Roman"/>
          <w:color w:val="auto"/>
          <w:sz w:val="32"/>
          <w:szCs w:val="32"/>
          <w:u w:val="none"/>
          <w:lang w:val="en-US" w:eastAsia="zh-CN"/>
        </w:rPr>
        <w:t>。对未注册单位网厅账号</w:t>
      </w:r>
      <w:r>
        <w:rPr>
          <w:rFonts w:hint="eastAsia" w:eastAsia="仿宋" w:cs="Times New Roman"/>
          <w:color w:val="auto"/>
          <w:sz w:val="32"/>
          <w:szCs w:val="32"/>
          <w:u w:val="none"/>
          <w:lang w:val="en-US" w:eastAsia="zh-CN"/>
        </w:rPr>
        <w:t>的</w:t>
      </w:r>
      <w:r>
        <w:rPr>
          <w:rFonts w:hint="eastAsia" w:cs="Times New Roman"/>
          <w:color w:val="auto"/>
          <w:sz w:val="32"/>
          <w:szCs w:val="32"/>
          <w:u w:val="none"/>
          <w:lang w:val="en-US" w:eastAsia="zh-CN"/>
        </w:rPr>
        <w:t>单位</w:t>
      </w:r>
      <w:r>
        <w:rPr>
          <w:rFonts w:hint="eastAsia" w:eastAsia="仿宋" w:cs="Times New Roman"/>
          <w:color w:val="auto"/>
          <w:sz w:val="32"/>
          <w:szCs w:val="32"/>
          <w:u w:val="none"/>
          <w:lang w:val="en-US" w:eastAsia="zh-CN"/>
        </w:rPr>
        <w:t>，可采用线下提交确认函的方式办理</w:t>
      </w:r>
      <w:r>
        <w:rPr>
          <w:rFonts w:hint="eastAsia" w:cs="Times New Roman"/>
          <w:color w:val="auto"/>
          <w:sz w:val="32"/>
          <w:szCs w:val="32"/>
          <w:u w:val="none"/>
          <w:lang w:val="en-US" w:eastAsia="zh-CN"/>
        </w:rPr>
        <w:t>。</w:t>
      </w:r>
      <w:r>
        <w:rPr>
          <w:rFonts w:hint="default" w:ascii="Times New Roman" w:hAnsi="Times New Roman" w:eastAsia="仿宋" w:cs="Times New Roman"/>
          <w:kern w:val="0"/>
          <w:sz w:val="32"/>
          <w:szCs w:val="32"/>
          <w:lang w:val="en-US" w:eastAsia="zh-CN" w:bidi="ar"/>
        </w:rPr>
        <w:t>对没有对公账户的小微企业，经企业</w:t>
      </w:r>
      <w:r>
        <w:rPr>
          <w:rFonts w:hint="eastAsia" w:cs="Times New Roman"/>
          <w:kern w:val="0"/>
          <w:sz w:val="32"/>
          <w:szCs w:val="32"/>
          <w:lang w:val="en-US" w:eastAsia="zh-CN" w:bidi="ar"/>
        </w:rPr>
        <w:t>申请、</w:t>
      </w:r>
      <w:r>
        <w:rPr>
          <w:rFonts w:hint="default" w:ascii="Times New Roman" w:hAnsi="Times New Roman" w:eastAsia="仿宋" w:cs="Times New Roman"/>
          <w:kern w:val="0"/>
          <w:sz w:val="32"/>
          <w:szCs w:val="32"/>
          <w:lang w:val="en-US" w:eastAsia="zh-CN" w:bidi="ar"/>
        </w:rPr>
        <w:t>确认及授权后，可将资金返还至当地税务部门协助提供的其缴纳社会保险费的账户。</w:t>
      </w:r>
      <w:r>
        <w:rPr>
          <w:rFonts w:hint="default" w:ascii="Times New Roman" w:hAnsi="Times New Roman" w:eastAsia="仿宋" w:cs="Times New Roman"/>
          <w:color w:val="auto"/>
          <w:sz w:val="32"/>
          <w:szCs w:val="32"/>
          <w:u w:val="none"/>
          <w:lang w:val="en-US" w:eastAsia="zh-CN"/>
        </w:rPr>
        <w:t>在2026年12月31日前仍未确认稳岗返还、一次性扩岗补助领取信息的单位，视为放弃享受。</w:t>
      </w:r>
    </w:p>
    <w:p w14:paraId="05CDF1A8">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仿宋" w:cs="Times New Roman"/>
          <w:kern w:val="0"/>
          <w:sz w:val="32"/>
          <w:szCs w:val="32"/>
          <w:lang w:val="en-US" w:eastAsia="zh-CN" w:bidi="ar"/>
        </w:rPr>
      </w:pPr>
      <w:r>
        <w:rPr>
          <w:rFonts w:hint="eastAsia" w:eastAsia="黑体" w:cs="Times New Roman"/>
          <w:color w:val="auto"/>
          <w:kern w:val="2"/>
          <w:sz w:val="32"/>
          <w:szCs w:val="32"/>
          <w:u w:val="none"/>
          <w:lang w:val="en-US" w:eastAsia="zh-CN" w:bidi="ar-SA"/>
        </w:rPr>
        <w:t>五、切实防范</w:t>
      </w:r>
      <w:r>
        <w:rPr>
          <w:rFonts w:hint="default" w:ascii="Times New Roman" w:hAnsi="Times New Roman" w:eastAsia="黑体" w:cs="Times New Roman"/>
          <w:color w:val="auto"/>
          <w:kern w:val="2"/>
          <w:sz w:val="32"/>
          <w:szCs w:val="32"/>
          <w:u w:val="none"/>
          <w:lang w:val="en-US" w:eastAsia="zh-CN" w:bidi="ar-SA"/>
        </w:rPr>
        <w:t>基金风险。</w:t>
      </w:r>
      <w:r>
        <w:rPr>
          <w:rFonts w:hint="eastAsia" w:cs="Times New Roman"/>
          <w:kern w:val="0"/>
          <w:sz w:val="32"/>
          <w:szCs w:val="32"/>
          <w:lang w:val="en-US" w:eastAsia="zh-CN" w:bidi="ar"/>
        </w:rPr>
        <w:t>各地要指导劳务派遣单位规范申请享受稳岗扩岗政策。对于未按规定拨付稳岗扩岗资金、逾期未提交拨付凭证的劳务派遣单位，经办机构应要求其退回未拨付部分，并取消下一年度申领资格。要加强技能提升补贴业务核查，</w:t>
      </w:r>
      <w:r>
        <w:rPr>
          <w:rFonts w:hint="default" w:ascii="Times New Roman" w:hAnsi="Times New Roman" w:eastAsia="仿宋" w:cs="Times New Roman"/>
          <w:kern w:val="0"/>
          <w:sz w:val="32"/>
          <w:szCs w:val="32"/>
          <w:lang w:val="en-US" w:eastAsia="zh-CN" w:bidi="ar"/>
        </w:rPr>
        <w:t>重点核查批量持外省份同一评价机构所发证书申领技能提升补贴等情形</w:t>
      </w:r>
      <w:r>
        <w:rPr>
          <w:rFonts w:hint="eastAsia" w:cs="Times New Roman"/>
          <w:kern w:val="0"/>
          <w:sz w:val="32"/>
          <w:szCs w:val="32"/>
          <w:lang w:val="en-US" w:eastAsia="zh-CN" w:bidi="ar"/>
        </w:rPr>
        <w:t>，将问题线索及时移交有关部门</w:t>
      </w:r>
      <w:r>
        <w:rPr>
          <w:rFonts w:hint="default" w:ascii="Times New Roman" w:hAnsi="Times New Roman" w:eastAsia="仿宋" w:cs="Times New Roman"/>
          <w:kern w:val="0"/>
          <w:sz w:val="32"/>
          <w:szCs w:val="32"/>
          <w:lang w:val="en-US" w:eastAsia="zh-CN" w:bidi="ar"/>
        </w:rPr>
        <w:t>。</w:t>
      </w:r>
    </w:p>
    <w:p w14:paraId="6F71C71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 w:cs="Times New Roman"/>
          <w:kern w:val="0"/>
          <w:sz w:val="32"/>
          <w:szCs w:val="32"/>
          <w:lang w:val="en-US" w:eastAsia="zh-CN" w:bidi="ar"/>
        </w:rPr>
      </w:pPr>
      <w:r>
        <w:rPr>
          <w:rFonts w:hint="default" w:ascii="Times New Roman" w:hAnsi="Times New Roman" w:eastAsia="仿宋" w:cs="Times New Roman"/>
          <w:kern w:val="0"/>
          <w:sz w:val="32"/>
          <w:szCs w:val="32"/>
          <w:lang w:val="en-US" w:eastAsia="zh-CN" w:bidi="ar"/>
        </w:rPr>
        <w:t>各地要提高政治站位，</w:t>
      </w:r>
      <w:r>
        <w:rPr>
          <w:rFonts w:hint="eastAsia" w:cs="Times New Roman"/>
          <w:kern w:val="0"/>
          <w:sz w:val="32"/>
          <w:szCs w:val="32"/>
          <w:lang w:val="en-US" w:eastAsia="zh-CN" w:bidi="ar"/>
        </w:rPr>
        <w:t>加强部门协作，</w:t>
      </w:r>
      <w:r>
        <w:rPr>
          <w:rFonts w:hint="default" w:ascii="Times New Roman" w:hAnsi="Times New Roman" w:cs="Times New Roman"/>
          <w:kern w:val="0"/>
          <w:sz w:val="32"/>
          <w:szCs w:val="32"/>
          <w:lang w:val="en-US" w:eastAsia="zh-CN" w:bidi="ar"/>
        </w:rPr>
        <w:t>迅速行动起来，</w:t>
      </w:r>
      <w:r>
        <w:rPr>
          <w:rFonts w:hint="eastAsia" w:cs="Times New Roman"/>
          <w:kern w:val="0"/>
          <w:sz w:val="32"/>
          <w:szCs w:val="32"/>
          <w:lang w:val="en-US" w:eastAsia="zh-CN" w:bidi="ar"/>
        </w:rPr>
        <w:t>加快</w:t>
      </w:r>
      <w:r>
        <w:rPr>
          <w:rFonts w:hint="default" w:ascii="Times New Roman" w:hAnsi="Times New Roman" w:eastAsia="仿宋" w:cs="Times New Roman"/>
          <w:kern w:val="0"/>
          <w:sz w:val="32"/>
          <w:szCs w:val="32"/>
          <w:lang w:val="en-US" w:eastAsia="zh-CN" w:bidi="ar"/>
        </w:rPr>
        <w:t>推动政策落地见效。</w:t>
      </w:r>
      <w:r>
        <w:rPr>
          <w:rFonts w:hint="eastAsia" w:ascii="Times New Roman" w:hAnsi="Times New Roman" w:eastAsia="仿宋" w:cs="Times New Roman"/>
          <w:color w:val="auto"/>
          <w:sz w:val="32"/>
          <w:szCs w:val="32"/>
          <w:u w:val="none"/>
          <w:lang w:val="en-US" w:eastAsia="zh-CN"/>
        </w:rPr>
        <w:t>相关政策执行期限为2026年1月1日至12月31日。</w:t>
      </w:r>
      <w:r>
        <w:rPr>
          <w:rFonts w:hint="default" w:ascii="Times New Roman" w:hAnsi="Times New Roman" w:eastAsia="仿宋" w:cs="Times New Roman"/>
          <w:kern w:val="0"/>
          <w:sz w:val="32"/>
          <w:szCs w:val="32"/>
          <w:lang w:val="en-US" w:eastAsia="zh-CN" w:bidi="ar"/>
        </w:rPr>
        <w:t>已有规定与本通知不一致的，按本通知执行。国家出台新规定的，从其规定。</w:t>
      </w:r>
    </w:p>
    <w:p w14:paraId="1074E007">
      <w:pPr>
        <w:pStyle w:val="2"/>
        <w:keepNext w:val="0"/>
        <w:keepLines w:val="0"/>
        <w:pageBreakBefore w:val="0"/>
        <w:widowControl w:val="0"/>
        <w:kinsoku/>
        <w:wordWrap/>
        <w:overflowPunct/>
        <w:topLinePunct w:val="0"/>
        <w:autoSpaceDE/>
        <w:autoSpaceDN/>
        <w:bidi w:val="0"/>
        <w:adjustRightInd/>
        <w:snapToGrid/>
        <w:spacing w:line="579" w:lineRule="exact"/>
        <w:ind w:left="0" w:leftChars="0" w:firstLine="0" w:firstLineChars="0"/>
        <w:textAlignment w:val="auto"/>
        <w:rPr>
          <w:rFonts w:hint="default" w:ascii="Times New Roman" w:hAnsi="Times New Roman" w:cs="Times New Roman"/>
          <w:lang w:val="en-US" w:eastAsia="zh-CN"/>
        </w:rPr>
      </w:pPr>
    </w:p>
    <w:p w14:paraId="2BCA8750">
      <w:pPr>
        <w:pStyle w:val="2"/>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cs="Times New Roman"/>
          <w:lang w:val="en-US" w:eastAsia="zh-CN"/>
        </w:rPr>
      </w:pPr>
    </w:p>
    <w:p w14:paraId="534D6008">
      <w:pPr>
        <w:keepNext w:val="0"/>
        <w:keepLines w:val="0"/>
        <w:pageBreakBefore w:val="0"/>
        <w:widowControl w:val="0"/>
        <w:suppressLineNumbers w:val="0"/>
        <w:kinsoku/>
        <w:wordWrap/>
        <w:overflowPunct/>
        <w:topLinePunct w:val="0"/>
        <w:autoSpaceDE/>
        <w:autoSpaceDN/>
        <w:bidi w:val="0"/>
        <w:adjustRightInd/>
        <w:snapToGrid/>
        <w:spacing w:beforeAutospacing="0" w:afterLines="0" w:afterAutospacing="0" w:line="579" w:lineRule="exact"/>
        <w:ind w:left="0" w:leftChars="0" w:right="0" w:rightChars="0"/>
        <w:jc w:val="both"/>
        <w:textAlignment w:val="auto"/>
        <w:rPr>
          <w:rFonts w:hint="eastAsia" w:ascii="仿宋" w:hAnsi="仿宋" w:eastAsia="仿宋" w:cs="仿宋"/>
          <w:color w:val="000000"/>
          <w:kern w:val="2"/>
          <w:sz w:val="32"/>
          <w:szCs w:val="32"/>
          <w:lang w:val="en-US" w:eastAsia="zh-CN" w:bidi="ar"/>
        </w:rPr>
      </w:pPr>
      <w:r>
        <w:rPr>
          <w:rFonts w:hint="eastAsia" w:ascii="仿宋" w:hAnsi="仿宋" w:eastAsia="仿宋" w:cs="仿宋"/>
          <w:color w:val="000000"/>
          <w:kern w:val="2"/>
          <w:sz w:val="32"/>
          <w:szCs w:val="32"/>
          <w:lang w:val="en-US" w:eastAsia="zh-CN" w:bidi="ar"/>
        </w:rPr>
        <w:t>湖南省人力资源和社会保障厅      湖南省</w:t>
      </w:r>
      <w:r>
        <w:rPr>
          <w:rFonts w:hint="eastAsia" w:ascii="仿宋" w:hAnsi="仿宋" w:cs="仿宋"/>
          <w:color w:val="000000"/>
          <w:kern w:val="2"/>
          <w:sz w:val="32"/>
          <w:szCs w:val="32"/>
          <w:lang w:val="en-US" w:eastAsia="zh-CN" w:bidi="ar"/>
        </w:rPr>
        <w:t>教育</w:t>
      </w:r>
      <w:r>
        <w:rPr>
          <w:rFonts w:hint="eastAsia" w:ascii="仿宋" w:hAnsi="仿宋" w:eastAsia="仿宋" w:cs="仿宋"/>
          <w:color w:val="000000"/>
          <w:kern w:val="2"/>
          <w:sz w:val="32"/>
          <w:szCs w:val="32"/>
          <w:lang w:val="en-US" w:eastAsia="zh-CN" w:bidi="ar"/>
        </w:rPr>
        <w:t>厅</w:t>
      </w:r>
    </w:p>
    <w:p w14:paraId="7F249839">
      <w:pPr>
        <w:keepNext w:val="0"/>
        <w:keepLines w:val="0"/>
        <w:pageBreakBefore w:val="0"/>
        <w:widowControl w:val="0"/>
        <w:suppressLineNumbers w:val="0"/>
        <w:kinsoku/>
        <w:wordWrap/>
        <w:overflowPunct/>
        <w:topLinePunct w:val="0"/>
        <w:autoSpaceDE/>
        <w:autoSpaceDN/>
        <w:bidi w:val="0"/>
        <w:adjustRightInd/>
        <w:snapToGrid/>
        <w:spacing w:beforeAutospacing="0" w:afterLines="0" w:afterAutospacing="0" w:line="579" w:lineRule="exact"/>
        <w:ind w:left="0" w:leftChars="0" w:right="0" w:rightChars="0"/>
        <w:jc w:val="both"/>
        <w:textAlignment w:val="auto"/>
        <w:rPr>
          <w:rFonts w:hint="eastAsia" w:ascii="仿宋" w:hAnsi="仿宋" w:eastAsia="仿宋" w:cs="仿宋"/>
          <w:color w:val="000000"/>
          <w:kern w:val="2"/>
          <w:sz w:val="32"/>
          <w:szCs w:val="32"/>
          <w:lang w:val="en-US" w:eastAsia="zh-CN" w:bidi="ar"/>
        </w:rPr>
      </w:pPr>
    </w:p>
    <w:p w14:paraId="34202945">
      <w:pPr>
        <w:keepNext w:val="0"/>
        <w:keepLines w:val="0"/>
        <w:pageBreakBefore w:val="0"/>
        <w:widowControl w:val="0"/>
        <w:suppressLineNumbers w:val="0"/>
        <w:kinsoku/>
        <w:wordWrap/>
        <w:overflowPunct/>
        <w:topLinePunct w:val="0"/>
        <w:autoSpaceDE/>
        <w:autoSpaceDN/>
        <w:bidi w:val="0"/>
        <w:adjustRightInd/>
        <w:snapToGrid/>
        <w:spacing w:beforeAutospacing="0" w:afterLines="0" w:afterAutospacing="0" w:line="579" w:lineRule="exact"/>
        <w:ind w:left="0" w:leftChars="0" w:right="0" w:rightChars="0"/>
        <w:jc w:val="both"/>
        <w:textAlignment w:val="auto"/>
        <w:rPr>
          <w:rFonts w:hint="eastAsia" w:ascii="仿宋" w:hAnsi="仿宋" w:eastAsia="仿宋" w:cs="仿宋"/>
          <w:color w:val="000000"/>
          <w:kern w:val="2"/>
          <w:sz w:val="32"/>
          <w:szCs w:val="32"/>
          <w:lang w:val="en-US" w:eastAsia="zh-CN" w:bidi="ar"/>
        </w:rPr>
      </w:pPr>
    </w:p>
    <w:p w14:paraId="3FBC782E">
      <w:pPr>
        <w:keepNext w:val="0"/>
        <w:keepLines w:val="0"/>
        <w:pageBreakBefore w:val="0"/>
        <w:widowControl w:val="0"/>
        <w:suppressLineNumbers w:val="0"/>
        <w:kinsoku/>
        <w:wordWrap/>
        <w:overflowPunct/>
        <w:topLinePunct w:val="0"/>
        <w:autoSpaceDE/>
        <w:autoSpaceDN/>
        <w:bidi w:val="0"/>
        <w:adjustRightInd/>
        <w:snapToGrid/>
        <w:spacing w:beforeAutospacing="0" w:afterLines="0" w:afterAutospacing="0" w:line="579" w:lineRule="exact"/>
        <w:ind w:left="0" w:leftChars="0" w:right="0" w:rightChars="0"/>
        <w:jc w:val="both"/>
        <w:textAlignment w:val="auto"/>
        <w:rPr>
          <w:rFonts w:hint="eastAsia" w:ascii="仿宋" w:hAnsi="仿宋" w:eastAsia="仿宋" w:cs="仿宋"/>
          <w:color w:val="000000"/>
          <w:kern w:val="2"/>
          <w:sz w:val="32"/>
          <w:szCs w:val="32"/>
          <w:lang w:val="en-US" w:eastAsia="zh-CN" w:bidi="ar"/>
        </w:rPr>
      </w:pPr>
    </w:p>
    <w:p w14:paraId="59602A5D">
      <w:pPr>
        <w:keepNext w:val="0"/>
        <w:keepLines w:val="0"/>
        <w:pageBreakBefore w:val="0"/>
        <w:widowControl w:val="0"/>
        <w:suppressLineNumbers w:val="0"/>
        <w:kinsoku/>
        <w:wordWrap/>
        <w:overflowPunct/>
        <w:topLinePunct w:val="0"/>
        <w:autoSpaceDE/>
        <w:autoSpaceDN/>
        <w:bidi w:val="0"/>
        <w:adjustRightInd/>
        <w:snapToGrid/>
        <w:spacing w:beforeAutospacing="0" w:afterLines="0" w:afterAutospacing="0" w:line="579" w:lineRule="exact"/>
        <w:ind w:left="0" w:leftChars="0" w:right="0" w:rightChars="0" w:firstLine="0" w:firstLineChars="0"/>
        <w:jc w:val="center"/>
        <w:textAlignment w:val="auto"/>
        <w:rPr>
          <w:rFonts w:hint="eastAsia" w:ascii="仿宋" w:hAnsi="仿宋" w:eastAsia="仿宋" w:cs="仿宋"/>
          <w:color w:val="000000"/>
          <w:kern w:val="2"/>
          <w:sz w:val="32"/>
          <w:szCs w:val="32"/>
          <w:lang w:val="en-US" w:eastAsia="zh-CN" w:bidi="ar"/>
        </w:rPr>
      </w:pPr>
      <w:r>
        <w:rPr>
          <w:rFonts w:hint="eastAsia" w:ascii="仿宋" w:hAnsi="仿宋" w:eastAsia="仿宋" w:cs="仿宋"/>
          <w:color w:val="000000"/>
          <w:kern w:val="2"/>
          <w:sz w:val="32"/>
          <w:szCs w:val="32"/>
          <w:lang w:val="en-US" w:eastAsia="zh-CN" w:bidi="ar"/>
        </w:rPr>
        <w:t>湖南省财政厅           国家税务总局湖南省税务局</w:t>
      </w:r>
    </w:p>
    <w:p w14:paraId="3A64274B">
      <w:pPr>
        <w:pStyle w:val="2"/>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 w:hAnsi="仿宋" w:eastAsia="仿宋" w:cs="仿宋"/>
          <w:color w:val="000000"/>
          <w:kern w:val="2"/>
          <w:sz w:val="32"/>
          <w:szCs w:val="32"/>
          <w:lang w:val="en-US" w:eastAsia="zh-CN" w:bidi="ar"/>
        </w:rPr>
      </w:pPr>
      <w:r>
        <w:rPr>
          <w:rFonts w:hint="eastAsia" w:ascii="仿宋" w:hAnsi="仿宋" w:eastAsia="仿宋" w:cs="仿宋"/>
          <w:color w:val="000000"/>
          <w:kern w:val="2"/>
          <w:sz w:val="32"/>
          <w:szCs w:val="32"/>
          <w:lang w:val="en-US" w:eastAsia="zh-CN" w:bidi="ar"/>
        </w:rPr>
        <w:t xml:space="preserve">                            2026年7月</w:t>
      </w:r>
      <w:r>
        <w:rPr>
          <w:rFonts w:hint="default" w:ascii="仿宋" w:hAnsi="仿宋" w:eastAsia="仿宋" w:cs="仿宋"/>
          <w:color w:val="000000"/>
          <w:kern w:val="2"/>
          <w:sz w:val="32"/>
          <w:szCs w:val="32"/>
          <w:lang w:val="en-US" w:eastAsia="zh-CN" w:bidi="ar"/>
        </w:rPr>
        <w:t>24</w:t>
      </w:r>
      <w:r>
        <w:rPr>
          <w:rFonts w:hint="eastAsia" w:ascii="仿宋" w:hAnsi="仿宋" w:eastAsia="仿宋" w:cs="仿宋"/>
          <w:color w:val="000000"/>
          <w:kern w:val="2"/>
          <w:sz w:val="32"/>
          <w:szCs w:val="32"/>
          <w:lang w:val="en-US" w:eastAsia="zh-CN" w:bidi="ar"/>
        </w:rPr>
        <w:t>日</w:t>
      </w:r>
    </w:p>
    <w:p w14:paraId="32128CCE">
      <w:pPr>
        <w:pStyle w:val="2"/>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 w:hAnsi="仿宋" w:eastAsia="仿宋" w:cs="仿宋"/>
          <w:color w:val="000000"/>
          <w:kern w:val="2"/>
          <w:sz w:val="32"/>
          <w:szCs w:val="32"/>
          <w:lang w:val="en-US" w:eastAsia="zh-CN" w:bidi="ar"/>
        </w:rPr>
      </w:pPr>
    </w:p>
    <w:p w14:paraId="60584DFD">
      <w:pPr>
        <w:pStyle w:val="2"/>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 w:hAnsi="仿宋" w:eastAsia="仿宋" w:cs="仿宋"/>
          <w:color w:val="000000"/>
          <w:kern w:val="2"/>
          <w:sz w:val="32"/>
          <w:szCs w:val="32"/>
          <w:lang w:val="en-US" w:eastAsia="zh-CN" w:bidi="ar"/>
        </w:rPr>
      </w:pPr>
    </w:p>
    <w:p w14:paraId="54011881">
      <w:pPr>
        <w:pStyle w:val="2"/>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 w:hAnsi="仿宋" w:eastAsia="仿宋" w:cs="仿宋"/>
          <w:color w:val="000000"/>
          <w:kern w:val="2"/>
          <w:sz w:val="32"/>
          <w:szCs w:val="32"/>
          <w:lang w:val="en-US" w:eastAsia="zh-CN" w:bidi="ar"/>
        </w:rPr>
      </w:pPr>
    </w:p>
    <w:p w14:paraId="3B521A68">
      <w:pPr>
        <w:pStyle w:val="2"/>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 w:hAnsi="仿宋" w:eastAsia="仿宋" w:cs="仿宋"/>
          <w:color w:val="000000"/>
          <w:kern w:val="2"/>
          <w:sz w:val="32"/>
          <w:szCs w:val="32"/>
          <w:lang w:val="en-US" w:eastAsia="zh-CN" w:bidi="ar"/>
        </w:rPr>
      </w:pPr>
    </w:p>
    <w:p w14:paraId="203AAA38">
      <w:pPr>
        <w:pStyle w:val="2"/>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 w:hAnsi="仿宋" w:eastAsia="仿宋" w:cs="仿宋"/>
          <w:color w:val="000000"/>
          <w:kern w:val="2"/>
          <w:sz w:val="32"/>
          <w:szCs w:val="32"/>
          <w:lang w:val="en-US" w:eastAsia="zh-CN" w:bidi="ar"/>
        </w:rPr>
      </w:pPr>
    </w:p>
    <w:p w14:paraId="2F8A978B">
      <w:pPr>
        <w:pStyle w:val="2"/>
        <w:keepNext w:val="0"/>
        <w:keepLines w:val="0"/>
        <w:pageBreakBefore w:val="0"/>
        <w:widowControl w:val="0"/>
        <w:kinsoku/>
        <w:wordWrap/>
        <w:overflowPunct w:val="0"/>
        <w:topLinePunct w:val="0"/>
        <w:autoSpaceDE/>
        <w:autoSpaceDN/>
        <w:bidi w:val="0"/>
        <w:adjustRightInd/>
        <w:snapToGrid/>
        <w:spacing w:after="0" w:line="400" w:lineRule="exact"/>
        <w:ind w:left="0" w:leftChars="0" w:firstLine="0" w:firstLineChars="0"/>
        <w:textAlignment w:val="auto"/>
        <w:rPr>
          <w:rFonts w:hint="eastAsia" w:ascii="仿宋" w:hAnsi="仿宋" w:eastAsia="仿宋" w:cs="仿宋"/>
          <w:b w:val="0"/>
          <w:bCs w:val="0"/>
          <w:color w:val="000000"/>
          <w:sz w:val="32"/>
          <w:szCs w:val="32"/>
          <w:lang w:val="en-US" w:eastAsia="zh-CN"/>
        </w:rPr>
      </w:pPr>
    </w:p>
    <w:p w14:paraId="5A9A96AB">
      <w:pPr>
        <w:pStyle w:val="2"/>
        <w:keepNext w:val="0"/>
        <w:keepLines w:val="0"/>
        <w:pageBreakBefore w:val="0"/>
        <w:widowControl w:val="0"/>
        <w:kinsoku/>
        <w:wordWrap/>
        <w:overflowPunct w:val="0"/>
        <w:topLinePunct w:val="0"/>
        <w:autoSpaceDE/>
        <w:autoSpaceDN/>
        <w:bidi w:val="0"/>
        <w:adjustRightInd/>
        <w:snapToGrid/>
        <w:spacing w:after="0" w:line="400" w:lineRule="exact"/>
        <w:ind w:left="0" w:leftChars="0" w:firstLine="0" w:firstLineChars="0"/>
        <w:textAlignment w:val="auto"/>
        <w:rPr>
          <w:rFonts w:hint="eastAsia" w:ascii="仿宋" w:hAnsi="仿宋" w:eastAsia="仿宋" w:cs="仿宋"/>
          <w:b w:val="0"/>
          <w:bCs w:val="0"/>
          <w:color w:val="000000"/>
          <w:sz w:val="32"/>
          <w:szCs w:val="32"/>
          <w:lang w:val="en-US" w:eastAsia="zh-CN"/>
        </w:rPr>
      </w:pPr>
    </w:p>
    <w:p w14:paraId="1C1FE16B">
      <w:pPr>
        <w:widowControl w:val="0"/>
        <w:pBdr>
          <w:top w:val="single" w:color="auto" w:sz="8" w:space="1"/>
          <w:left w:val="none" w:color="auto" w:sz="0" w:space="4"/>
          <w:bottom w:val="single" w:color="auto" w:sz="8" w:space="1"/>
          <w:right w:val="none" w:color="auto" w:sz="0" w:space="4"/>
          <w:between w:val="none" w:color="auto" w:sz="0" w:space="0"/>
        </w:pBdr>
        <w:spacing w:line="400" w:lineRule="exact"/>
        <w:jc w:val="both"/>
        <w:outlineLvl w:val="9"/>
        <w:rPr>
          <w:rFonts w:hint="default" w:ascii="仿宋" w:hAnsi="仿宋" w:eastAsia="仿宋" w:cs="仿宋"/>
          <w:color w:val="000000"/>
          <w:kern w:val="2"/>
          <w:sz w:val="32"/>
          <w:szCs w:val="32"/>
          <w:lang w:val="en-US" w:eastAsia="zh-CN" w:bidi="ar"/>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湖南省人力资源和社会保障厅</w:t>
      </w:r>
      <w:r>
        <w:rPr>
          <w:rFonts w:hint="eastAsia" w:ascii="仿宋" w:hAnsi="仿宋" w:eastAsia="仿宋" w:cs="仿宋"/>
          <w:sz w:val="28"/>
          <w:szCs w:val="28"/>
          <w:lang w:eastAsia="zh-CN"/>
        </w:rPr>
        <w:t>办公室</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20</w:t>
      </w:r>
      <w:r>
        <w:rPr>
          <w:rFonts w:hint="eastAsia" w:ascii="仿宋" w:hAnsi="仿宋" w:eastAsia="仿宋" w:cs="仿宋"/>
          <w:sz w:val="28"/>
          <w:szCs w:val="28"/>
          <w:lang w:val="en-US" w:eastAsia="zh-CN"/>
        </w:rPr>
        <w:t>26</w:t>
      </w:r>
      <w:r>
        <w:rPr>
          <w:rFonts w:hint="eastAsia" w:ascii="仿宋" w:hAnsi="仿宋" w:eastAsia="仿宋" w:cs="仿宋"/>
          <w:sz w:val="28"/>
          <w:szCs w:val="28"/>
        </w:rPr>
        <w:t>年</w:t>
      </w:r>
      <w:r>
        <w:rPr>
          <w:rFonts w:hint="eastAsia" w:ascii="仿宋" w:hAnsi="仿宋" w:eastAsia="仿宋" w:cs="仿宋"/>
          <w:sz w:val="28"/>
          <w:szCs w:val="28"/>
          <w:lang w:val="en-US" w:eastAsia="zh-CN"/>
        </w:rPr>
        <w:t>7</w:t>
      </w:r>
      <w:r>
        <w:rPr>
          <w:rFonts w:hint="eastAsia" w:ascii="仿宋" w:hAnsi="仿宋" w:eastAsia="仿宋" w:cs="仿宋"/>
          <w:sz w:val="28"/>
          <w:szCs w:val="28"/>
        </w:rPr>
        <w:t>月</w:t>
      </w:r>
      <w:r>
        <w:rPr>
          <w:rFonts w:hint="eastAsia" w:ascii="仿宋" w:hAnsi="仿宋" w:eastAsia="仿宋" w:cs="仿宋"/>
          <w:sz w:val="28"/>
          <w:szCs w:val="28"/>
          <w:lang w:val="en-US" w:eastAsia="zh-CN"/>
        </w:rPr>
        <w:t>29</w:t>
      </w:r>
      <w:r>
        <w:rPr>
          <w:rFonts w:hint="eastAsia" w:ascii="仿宋" w:hAnsi="仿宋" w:eastAsia="仿宋" w:cs="仿宋"/>
          <w:sz w:val="28"/>
          <w:szCs w:val="28"/>
        </w:rPr>
        <w:t>日印</w:t>
      </w:r>
      <w:r>
        <w:rPr>
          <w:rFonts w:hint="eastAsia" w:ascii="仿宋" w:hAnsi="仿宋" w:eastAsia="仿宋" w:cs="仿宋"/>
          <w:sz w:val="28"/>
          <w:szCs w:val="28"/>
          <w:lang w:eastAsia="zh-CN"/>
        </w:rPr>
        <w:t>发</w:t>
      </w:r>
      <w:bookmarkStart w:id="0" w:name="_GoBack"/>
      <w:bookmarkEnd w:id="0"/>
    </w:p>
    <w:sectPr>
      <w:footerReference r:id="rId3" w:type="default"/>
      <w:pgSz w:w="11906" w:h="16838"/>
      <w:pgMar w:top="2098" w:right="1474" w:bottom="1984" w:left="1587" w:header="851" w:footer="1134"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77CEA">
    <w:pPr>
      <w:pStyle w:val="9"/>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4E87E">
                          <w:pPr>
                            <w:pStyle w:val="9"/>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B4E87E">
                    <w:pPr>
                      <w:pStyle w:val="9"/>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1BC270"/>
    <w:multiLevelType w:val="singleLevel"/>
    <w:tmpl w:val="A81BC270"/>
    <w:lvl w:ilvl="0" w:tentative="0">
      <w:start w:val="1"/>
      <w:numFmt w:val="chineseCounting"/>
      <w:pStyle w:val="5"/>
      <w:suff w:val="nothing"/>
      <w:lvlText w:val="%1、"/>
      <w:lvlJc w:val="left"/>
      <w:pPr>
        <w:tabs>
          <w:tab w:val="left" w:pos="0"/>
        </w:tabs>
        <w:ind w:left="0" w:leftChars="0" w:firstLine="0" w:firstLineChars="0"/>
      </w:pPr>
      <w:rPr>
        <w:rFonts w:hint="eastAsia"/>
      </w:rPr>
    </w:lvl>
  </w:abstractNum>
  <w:abstractNum w:abstractNumId="1">
    <w:nsid w:val="038B4A06"/>
    <w:multiLevelType w:val="singleLevel"/>
    <w:tmpl w:val="038B4A06"/>
    <w:lvl w:ilvl="0" w:tentative="0">
      <w:start w:val="1"/>
      <w:numFmt w:val="chineseCounting"/>
      <w:pStyle w:val="6"/>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mirrorMargin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26D72"/>
    <w:rsid w:val="00817ECC"/>
    <w:rsid w:val="00B52F07"/>
    <w:rsid w:val="021430F9"/>
    <w:rsid w:val="02990F2E"/>
    <w:rsid w:val="04461223"/>
    <w:rsid w:val="050E172B"/>
    <w:rsid w:val="06851245"/>
    <w:rsid w:val="07AA22B4"/>
    <w:rsid w:val="0842422B"/>
    <w:rsid w:val="0AE81CCC"/>
    <w:rsid w:val="0C6D4865"/>
    <w:rsid w:val="0DDA6FD7"/>
    <w:rsid w:val="0EA24D62"/>
    <w:rsid w:val="155838BF"/>
    <w:rsid w:val="170E5F13"/>
    <w:rsid w:val="18B763CB"/>
    <w:rsid w:val="1A79037D"/>
    <w:rsid w:val="1A8A633F"/>
    <w:rsid w:val="1BE523FE"/>
    <w:rsid w:val="1CBC3BBE"/>
    <w:rsid w:val="20152C82"/>
    <w:rsid w:val="22420E35"/>
    <w:rsid w:val="25BA1A2C"/>
    <w:rsid w:val="26DD57A0"/>
    <w:rsid w:val="273D459E"/>
    <w:rsid w:val="282D0BDB"/>
    <w:rsid w:val="29365AFA"/>
    <w:rsid w:val="29DF7C41"/>
    <w:rsid w:val="2C122FB6"/>
    <w:rsid w:val="2C312D44"/>
    <w:rsid w:val="2D662D42"/>
    <w:rsid w:val="2EF878C5"/>
    <w:rsid w:val="2F4A739A"/>
    <w:rsid w:val="312B38DC"/>
    <w:rsid w:val="314E1ECB"/>
    <w:rsid w:val="33020E3C"/>
    <w:rsid w:val="33BB353F"/>
    <w:rsid w:val="36E32E48"/>
    <w:rsid w:val="37BD3C26"/>
    <w:rsid w:val="38D14005"/>
    <w:rsid w:val="38DD7A64"/>
    <w:rsid w:val="3A3E7ACF"/>
    <w:rsid w:val="3AC909BE"/>
    <w:rsid w:val="3ACB4055"/>
    <w:rsid w:val="3DE415B3"/>
    <w:rsid w:val="3F403BF8"/>
    <w:rsid w:val="40050189"/>
    <w:rsid w:val="414B115A"/>
    <w:rsid w:val="42E5074D"/>
    <w:rsid w:val="44F73453"/>
    <w:rsid w:val="455A0225"/>
    <w:rsid w:val="456B03BA"/>
    <w:rsid w:val="477B4D9F"/>
    <w:rsid w:val="47C01DE0"/>
    <w:rsid w:val="47C96BCF"/>
    <w:rsid w:val="47D058B1"/>
    <w:rsid w:val="48220C6E"/>
    <w:rsid w:val="4D2F42F9"/>
    <w:rsid w:val="4EA312FE"/>
    <w:rsid w:val="4FA714EF"/>
    <w:rsid w:val="536C1065"/>
    <w:rsid w:val="55EE5388"/>
    <w:rsid w:val="56562EB3"/>
    <w:rsid w:val="58B96A0C"/>
    <w:rsid w:val="5A02494B"/>
    <w:rsid w:val="5C2D054B"/>
    <w:rsid w:val="5DB50061"/>
    <w:rsid w:val="5E1607EE"/>
    <w:rsid w:val="5E3E1151"/>
    <w:rsid w:val="5EAF3FAF"/>
    <w:rsid w:val="62DE50BF"/>
    <w:rsid w:val="669A0018"/>
    <w:rsid w:val="683554FA"/>
    <w:rsid w:val="6A7972CF"/>
    <w:rsid w:val="6E216740"/>
    <w:rsid w:val="6FCC03A0"/>
    <w:rsid w:val="75354F74"/>
    <w:rsid w:val="799A0B8D"/>
    <w:rsid w:val="7DA71A7B"/>
    <w:rsid w:val="FFACB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仿宋" w:cs="Times New Roman"/>
      <w:kern w:val="2"/>
      <w:sz w:val="32"/>
      <w:szCs w:val="24"/>
      <w:lang w:val="en-US" w:eastAsia="zh-CN" w:bidi="ar-SA"/>
    </w:rPr>
  </w:style>
  <w:style w:type="paragraph" w:styleId="4">
    <w:name w:val="heading 1"/>
    <w:basedOn w:val="1"/>
    <w:next w:val="1"/>
    <w:link w:val="14"/>
    <w:qFormat/>
    <w:uiPriority w:val="0"/>
    <w:pPr>
      <w:keepNext/>
      <w:keepLines/>
      <w:spacing w:beforeLines="0" w:beforeAutospacing="0" w:afterLines="0" w:afterAutospacing="0" w:line="700" w:lineRule="exact"/>
      <w:jc w:val="center"/>
      <w:outlineLvl w:val="0"/>
    </w:pPr>
    <w:rPr>
      <w:rFonts w:ascii="Times New Roman" w:hAnsi="Times New Roman" w:eastAsia="方正小标宋简体" w:cs="Times New Roman"/>
      <w:kern w:val="44"/>
      <w:sz w:val="44"/>
    </w:rPr>
  </w:style>
  <w:style w:type="paragraph" w:styleId="5">
    <w:name w:val="heading 2"/>
    <w:basedOn w:val="1"/>
    <w:next w:val="1"/>
    <w:semiHidden/>
    <w:unhideWhenUsed/>
    <w:qFormat/>
    <w:uiPriority w:val="0"/>
    <w:pPr>
      <w:keepNext/>
      <w:keepLines/>
      <w:numPr>
        <w:ilvl w:val="0"/>
        <w:numId w:val="1"/>
      </w:numPr>
      <w:spacing w:beforeLines="0" w:beforeAutospacing="0" w:afterLines="0" w:afterAutospacing="0" w:line="413" w:lineRule="auto"/>
      <w:ind w:left="0" w:leftChars="200"/>
      <w:outlineLvl w:val="1"/>
    </w:pPr>
    <w:rPr>
      <w:rFonts w:ascii="Times New Roman" w:hAnsi="Times New Roman" w:eastAsia="黑体"/>
    </w:rPr>
  </w:style>
  <w:style w:type="paragraph" w:styleId="6">
    <w:name w:val="heading 3"/>
    <w:basedOn w:val="1"/>
    <w:next w:val="1"/>
    <w:link w:val="13"/>
    <w:semiHidden/>
    <w:unhideWhenUsed/>
    <w:qFormat/>
    <w:uiPriority w:val="0"/>
    <w:pPr>
      <w:keepNext/>
      <w:keepLines/>
      <w:numPr>
        <w:ilvl w:val="0"/>
        <w:numId w:val="2"/>
      </w:numPr>
      <w:spacing w:beforeLines="0" w:beforeAutospacing="0" w:afterLines="0" w:afterAutospacing="0" w:line="413" w:lineRule="auto"/>
      <w:outlineLvl w:val="2"/>
    </w:pPr>
    <w:rPr>
      <w:rFonts w:eastAsia="楷体"/>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eastAsia="宋体" w:cs="Times New Roman"/>
    </w:rPr>
  </w:style>
  <w:style w:type="paragraph" w:styleId="3">
    <w:name w:val="Body Text Indent"/>
    <w:basedOn w:val="1"/>
    <w:qFormat/>
    <w:uiPriority w:val="0"/>
    <w:pPr>
      <w:spacing w:line="480" w:lineRule="exact"/>
      <w:ind w:firstLine="600" w:firstLineChars="200"/>
    </w:pPr>
    <w:rPr>
      <w:rFonts w:ascii="仿宋_GB2312"/>
      <w:sz w:val="30"/>
    </w:rPr>
  </w:style>
  <w:style w:type="paragraph" w:styleId="7">
    <w:name w:val="index 5"/>
    <w:basedOn w:val="1"/>
    <w:next w:val="1"/>
    <w:qFormat/>
    <w:uiPriority w:val="0"/>
    <w:pPr>
      <w:ind w:left="800" w:leftChars="800"/>
    </w:pPr>
  </w:style>
  <w:style w:type="paragraph" w:styleId="8">
    <w:name w:val="Body Text"/>
    <w:basedOn w:val="1"/>
    <w:qFormat/>
    <w:uiPriority w:val="0"/>
    <w:pPr>
      <w:spacing w:afterLines="0" w:afterAutospacing="0" w:line="592" w:lineRule="exact"/>
    </w:pPr>
    <w:rPr>
      <w:rFonts w:ascii="Times New Roman" w:hAnsi="Times New Roman" w:eastAsia="仿宋" w:cstheme="minorBidi"/>
      <w:szCs w:val="24"/>
    </w:rPr>
  </w:style>
  <w:style w:type="paragraph" w:styleId="9">
    <w:name w:val="footer"/>
    <w:basedOn w:val="1"/>
    <w:next w:val="7"/>
    <w:qFormat/>
    <w:uiPriority w:val="0"/>
    <w:pPr>
      <w:tabs>
        <w:tab w:val="center" w:pos="4153"/>
        <w:tab w:val="right" w:pos="8306"/>
      </w:tabs>
      <w:snapToGrid w:val="0"/>
      <w:jc w:val="left"/>
    </w:pPr>
    <w:rPr>
      <w:rFonts w:ascii="宋体" w:hAnsi="宋体" w:eastAsia="宋体" w:cs="Times New Roman"/>
      <w:sz w:val="2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3">
    <w:name w:val="标题 3 Char"/>
    <w:link w:val="6"/>
    <w:qFormat/>
    <w:uiPriority w:val="0"/>
    <w:rPr>
      <w:rFonts w:eastAsia="楷体"/>
      <w:b/>
      <w:sz w:val="32"/>
    </w:rPr>
  </w:style>
  <w:style w:type="character" w:customStyle="1" w:styleId="14">
    <w:name w:val="标题 1 Char"/>
    <w:link w:val="4"/>
    <w:qFormat/>
    <w:uiPriority w:val="0"/>
    <w:rPr>
      <w:rFonts w:ascii="Times New Roman" w:hAnsi="Times New Roman" w:eastAsia="方正小标宋简体" w:cs="Times New Roman"/>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7427800c-899e-4a84-adbd-82f57164bb26</errorID>
      <errorWord xmlns="http://schemas.wps.cn/vas-ai-hub/contract-review">2026年1月1日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2026年1月1日起</item>
      </candidateList>
      <explain xmlns="http://schemas.wps.cn/vas-ai-hub/contract-review"/>
      <paraID xmlns="http://schemas.wps.cn/vas-ai-hub/contract-review"> 14B6300</paraID>
      <start xmlns="http://schemas.wps.cn/vas-ai-hub/contract-review">89</start>
      <end xmlns="http://schemas.wps.cn/vas-ai-hub/contract-review">98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066593ee-0e9a-4d33-a137-b3d06647bd7d</errorID>
      <errorWord xmlns="http://schemas.wps.cn/vas-ai-hub/contract-review">中类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种类</item>
      </candidateList>
      <explain xmlns="http://schemas.wps.cn/vas-ai-hub/contract-review"/>
      <paraID xmlns="http://schemas.wps.cn/vas-ai-hub/contract-review"> 3391923</paraID>
      <start xmlns="http://schemas.wps.cn/vas-ai-hub/contract-review">44</start>
      <end xmlns="http://schemas.wps.cn/vas-ai-hub/contract-review">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8f899342-c871-4202-ab6a-3e9737e78d27</errorID>
      <errorWord xmlns="http://schemas.wps.cn/vas-ai-hub/contract-review">2026年1月1日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2026年1月1日起</item>
      </candidateList>
      <explain xmlns="http://schemas.wps.cn/vas-ai-hub/contract-review"/>
      <paraID xmlns="http://schemas.wps.cn/vas-ai-hub/contract-review">6F71C714</paraID>
      <start xmlns="http://schemas.wps.cn/vas-ai-hub/contract-review">44</start>
      <end xmlns="http://schemas.wps.cn/vas-ai-hub/contract-review">53</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2297f0-790e-450b-8733-635cd631b12f}">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1424</Words>
  <Characters>1480</Characters>
  <Lines>0</Lines>
  <Paragraphs>0</Paragraphs>
  <TotalTime>1</TotalTime>
  <ScaleCrop>false</ScaleCrop>
  <LinksUpToDate>false</LinksUpToDate>
  <CharactersWithSpaces>1534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2022-06-10T10:36:00Z</dcterms:created>
  <dc:creator>Administrator</dc:creator>
  <cp:lastModifiedBy>greatwall</cp:lastModifiedBy>
  <cp:lastPrinted>2026-07-14T15:19:00Z</cp:lastPrinted>
  <dcterms:modified xsi:type="dcterms:W3CDTF">2026-08-14T16:59:44Z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11EA292DB8A24013B2A28FE1F08070D3_13</vt:lpwstr>
  </property>
  <property fmtid="{D5CDD505-2E9C-101B-9397-08002B2CF9AE}" pid="4" name="KSOTemplateDocerSaveRecord">
    <vt:lpwstr>eyJoZGlkIjoiZmQzODUwYTY2MjE0MDM2ZmQ5Njk2NjIwODU0Y2E2MmIiLCJ1c2VySWQiOiIzODEyNjc4OTQifQ==</vt:lpwstr>
  </property>
</Properties>
</file>