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92" w:lineRule="exact"/>
        <w:ind w:left="0" w:leftChars="0" w:right="0" w:rightChars="0" w:firstLine="0" w:firstLineChars="0"/>
        <w:jc w:val="both"/>
        <w:textAlignment w:val="auto"/>
        <w:outlineLvl w:val="9"/>
        <w:rPr>
          <w:rFonts w:hint="eastAsia" w:ascii="黑体" w:hAnsi="黑体" w:eastAsia="黑体" w:cs="黑体"/>
          <w:color w:val="000000"/>
          <w:w w:val="100"/>
          <w:sz w:val="32"/>
          <w:szCs w:val="32"/>
          <w:lang w:val="en-US" w:eastAsia="zh-CN"/>
        </w:rPr>
      </w:pPr>
      <w:r>
        <w:rPr>
          <w:rFonts w:hint="eastAsia" w:ascii="黑体" w:hAnsi="黑体" w:eastAsia="黑体" w:cs="黑体"/>
          <w:color w:val="000000"/>
          <w:w w:val="100"/>
          <w:sz w:val="32"/>
          <w:szCs w:val="32"/>
          <w:lang w:val="en-US" w:eastAsia="zh-CN"/>
        </w:rPr>
        <w:t>HNPR-2025-11033</w:t>
      </w:r>
    </w:p>
    <w:p>
      <w:pPr>
        <w:pStyle w:val="16"/>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Times New Roman" w:hAnsi="Times New Roman" w:eastAsia="方正小标宋简体" w:cs="Times New Roman"/>
          <w:color w:val="FF0000"/>
          <w:spacing w:val="-46"/>
          <w:kern w:val="0"/>
          <w:sz w:val="68"/>
          <w:szCs w:val="90"/>
          <w:lang w:val="en-US" w:eastAsia="zh-CN"/>
        </w:rPr>
      </w:pPr>
      <w:r>
        <w:rPr>
          <w:rFonts w:hint="eastAsia" w:ascii="Times New Roman" w:hAnsi="Times New Roman" w:eastAsia="方正小标宋简体" w:cs="Times New Roman"/>
          <w:color w:val="FF0000"/>
          <w:spacing w:val="-46"/>
          <w:kern w:val="0"/>
          <w:sz w:val="68"/>
          <w:szCs w:val="90"/>
          <w:lang w:val="en-US" w:eastAsia="zh-CN"/>
        </w:rPr>
        <w:t xml:space="preserve"> </w:t>
      </w:r>
    </w:p>
    <w:p>
      <w:pPr>
        <w:pStyle w:val="2"/>
        <w:rPr>
          <w:rFonts w:hint="eastAsia" w:ascii="Times New Roman" w:hAnsi="Times New Roman" w:eastAsia="方正小标宋简体" w:cs="Times New Roman"/>
          <w:color w:val="FF0000"/>
          <w:spacing w:val="-46"/>
          <w:kern w:val="0"/>
          <w:sz w:val="68"/>
          <w:szCs w:val="90"/>
          <w:lang w:val="en-US" w:eastAsia="zh-CN"/>
        </w:rPr>
      </w:pPr>
    </w:p>
    <w:p>
      <w:pPr>
        <w:pStyle w:val="2"/>
        <w:rPr>
          <w:rFonts w:hint="eastAsia" w:ascii="Times New Roman" w:hAnsi="Times New Roman" w:eastAsia="方正小标宋简体" w:cs="Times New Roman"/>
          <w:color w:val="FF0000"/>
          <w:spacing w:val="-46"/>
          <w:kern w:val="0"/>
          <w:sz w:val="68"/>
          <w:szCs w:val="90"/>
          <w:lang w:val="en-US"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400" w:lineRule="exact"/>
        <w:ind w:right="-3" w:rightChars="-1"/>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湘人社</w:t>
      </w:r>
      <w:r>
        <w:rPr>
          <w:rFonts w:hint="eastAsia" w:ascii="仿宋" w:hAnsi="仿宋" w:eastAsia="仿宋" w:cs="仿宋"/>
          <w:sz w:val="32"/>
          <w:szCs w:val="32"/>
          <w:lang w:eastAsia="zh-C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w:t>
      </w:r>
      <w:r>
        <w:rPr>
          <w:rFonts w:hint="eastAsia" w:ascii="仿宋" w:hAnsi="仿宋" w:eastAsia="仿宋" w:cs="仿宋"/>
          <w:sz w:val="32"/>
          <w:szCs w:val="32"/>
          <w:lang w:val="en-US" w:eastAsia="zh-CN"/>
        </w:rPr>
        <w:t>32</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72" w:lineRule="exact"/>
        <w:ind w:firstLine="6160" w:firstLineChars="1400"/>
        <w:textAlignment w:val="auto"/>
        <w:rPr>
          <w:rFonts w:hint="default" w:ascii="Times New Roman" w:hAnsi="Times New Roman" w:cs="Times New Roman"/>
        </w:rPr>
      </w:pPr>
      <w:r>
        <w:rPr>
          <w:rFonts w:hint="default" w:ascii="Times New Roman" w:hAnsi="Times New Roman" w:eastAsia="方正小标宋简体"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104140</wp:posOffset>
                </wp:positionV>
                <wp:extent cx="5760720"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760720" cy="381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pt;margin-top:8.2pt;height:0.3pt;width:453.6pt;z-index:251659264;mso-width-relative:page;mso-height-relative:page;" filled="f" stroked="t" coordsize="21600,21600" o:gfxdata="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IzRkErZAAAA&#10;CAEAAA8AAAAAAAAAAQAgAAAAOAAAAGRycy9kb3ducmV2LnhtbFBLAQIUABQAAAAIAIdO4kAb0DKz&#10;BgIAAP8DAAAOAAAAAAAAAAEAIAAAAD4BAABkcnMvZTJvRG9jLnhtbFBLBQYAAAAABgAGAFkBAAC2&#10;BQAAAAA=&#10;">
                <v:fill on="f" focussize="0,0"/>
                <v:stroke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color w:val="auto"/>
          <w:sz w:val="44"/>
          <w:szCs w:val="44"/>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val="0"/>
        <w:snapToGrid w:val="0"/>
        <w:spacing w:after="0" w:line="579" w:lineRule="exact"/>
        <w:ind w:left="0" w:leftChars="0" w:right="0"/>
        <w:contextualSpacing/>
        <w:jc w:val="center"/>
        <w:textAlignment w:val="center"/>
        <w:outlineLvl w:val="9"/>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湖南省人力资源和社会保障厅</w:t>
      </w:r>
      <w:r>
        <w:rPr>
          <w:rFonts w:hint="eastAsia" w:ascii="Times New Roman" w:hAnsi="Times New Roman" w:eastAsia="方正小标宋简体" w:cs="Times New Roman"/>
          <w:b w:val="0"/>
          <w:bCs w:val="0"/>
          <w:color w:val="auto"/>
          <w:kern w:val="2"/>
          <w:sz w:val="44"/>
          <w:szCs w:val="44"/>
          <w:lang w:val="en-US" w:eastAsia="zh-CN" w:bidi="ar-SA"/>
        </w:rPr>
        <w:t xml:space="preserve">  </w:t>
      </w:r>
      <w:r>
        <w:rPr>
          <w:rFonts w:hint="default" w:ascii="Times New Roman" w:hAnsi="Times New Roman" w:eastAsia="方正小标宋简体" w:cs="Times New Roman"/>
          <w:b w:val="0"/>
          <w:bCs w:val="0"/>
          <w:color w:val="auto"/>
          <w:kern w:val="2"/>
          <w:sz w:val="44"/>
          <w:szCs w:val="44"/>
          <w:lang w:val="en-US" w:eastAsia="zh-CN" w:bidi="ar-SA"/>
        </w:rPr>
        <w:t>湖南省</w:t>
      </w:r>
      <w:r>
        <w:rPr>
          <w:rFonts w:hint="eastAsia" w:ascii="Times New Roman" w:hAnsi="Times New Roman" w:eastAsia="方正小标宋简体" w:cs="Times New Roman"/>
          <w:b w:val="0"/>
          <w:bCs w:val="0"/>
          <w:color w:val="auto"/>
          <w:kern w:val="2"/>
          <w:sz w:val="44"/>
          <w:szCs w:val="44"/>
          <w:lang w:val="en-US" w:eastAsia="zh-CN" w:bidi="ar-SA"/>
        </w:rPr>
        <w:t>财政厅</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关于20</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5</w:t>
      </w:r>
      <w:r>
        <w:rPr>
          <w:rFonts w:hint="default" w:ascii="Times New Roman" w:hAnsi="Times New Roman" w:eastAsia="方正小标宋简体" w:cs="Times New Roman"/>
          <w:color w:val="000000" w:themeColor="text1"/>
          <w:sz w:val="44"/>
          <w:szCs w:val="44"/>
          <w14:textFill>
            <w14:solidFill>
              <w14:schemeClr w14:val="tx1"/>
            </w14:solidFill>
          </w14:textFill>
        </w:rPr>
        <w:t>年调整工伤人员伤残津贴和</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因工死亡职工供养亲属抚恤金的通知</w:t>
      </w:r>
    </w:p>
    <w:p>
      <w:pPr>
        <w:keepNext w:val="0"/>
        <w:keepLines w:val="0"/>
        <w:pageBreakBefore w:val="0"/>
        <w:widowControl w:val="0"/>
        <w:tabs>
          <w:tab w:val="left" w:pos="2880"/>
        </w:tabs>
        <w:kinsoku/>
        <w:wordWrap/>
        <w:overflowPunct/>
        <w:topLinePunct w:val="0"/>
        <w:autoSpaceDE/>
        <w:autoSpaceDN/>
        <w:bidi w:val="0"/>
        <w:adjustRightInd/>
        <w:snapToGrid/>
        <w:spacing w:line="500" w:lineRule="exact"/>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各市州人力资源和社会保障局、财政局，</w:t>
      </w:r>
      <w:r>
        <w:rPr>
          <w:rFonts w:hint="eastAsia" w:ascii="仿宋" w:hAnsi="仿宋" w:eastAsia="仿宋" w:cs="仿宋"/>
          <w:color w:val="000000" w:themeColor="text1"/>
          <w:spacing w:val="0"/>
          <w:sz w:val="32"/>
          <w:szCs w:val="32"/>
          <w:lang w:eastAsia="zh-CN"/>
          <w14:textFill>
            <w14:solidFill>
              <w14:schemeClr w14:val="tx1"/>
            </w14:solidFill>
          </w14:textFill>
        </w:rPr>
        <w:t>各</w:t>
      </w:r>
      <w:r>
        <w:rPr>
          <w:rFonts w:hint="eastAsia" w:ascii="仿宋" w:hAnsi="仿宋" w:eastAsia="仿宋" w:cs="仿宋"/>
          <w:color w:val="000000" w:themeColor="text1"/>
          <w:spacing w:val="0"/>
          <w:sz w:val="32"/>
          <w:szCs w:val="32"/>
          <w14:textFill>
            <w14:solidFill>
              <w14:schemeClr w14:val="tx1"/>
            </w14:solidFill>
          </w14:textFill>
        </w:rPr>
        <w:t>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根据《湖南省实施</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工伤保险条例</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办法》（</w:t>
      </w:r>
      <w:r>
        <w:rPr>
          <w:rFonts w:hint="eastAsia" w:ascii="仿宋" w:hAnsi="仿宋" w:eastAsia="仿宋" w:cs="仿宋"/>
          <w:color w:val="000000" w:themeColor="text1"/>
          <w:spacing w:val="0"/>
          <w:sz w:val="32"/>
          <w:szCs w:val="32"/>
          <w:lang w:eastAsia="zh-CN"/>
          <w14:textFill>
            <w14:solidFill>
              <w14:schemeClr w14:val="tx1"/>
            </w14:solidFill>
          </w14:textFill>
        </w:rPr>
        <w:t>湖南省人民政府令第</w:t>
      </w:r>
      <w:r>
        <w:rPr>
          <w:rFonts w:hint="eastAsia" w:ascii="仿宋" w:hAnsi="仿宋" w:eastAsia="仿宋" w:cs="仿宋"/>
          <w:color w:val="000000" w:themeColor="text1"/>
          <w:spacing w:val="0"/>
          <w:sz w:val="32"/>
          <w:szCs w:val="32"/>
          <w:lang w:val="en-US" w:eastAsia="zh-CN"/>
          <w14:textFill>
            <w14:solidFill>
              <w14:schemeClr w14:val="tx1"/>
            </w14:solidFill>
          </w14:textFill>
        </w:rPr>
        <w:t>310</w:t>
      </w:r>
      <w:r>
        <w:rPr>
          <w:rFonts w:hint="eastAsia" w:ascii="仿宋" w:hAnsi="仿宋" w:eastAsia="仿宋" w:cs="仿宋"/>
          <w:color w:val="000000" w:themeColor="text1"/>
          <w:spacing w:val="0"/>
          <w:sz w:val="32"/>
          <w:szCs w:val="32"/>
          <w14:textFill>
            <w14:solidFill>
              <w14:schemeClr w14:val="tx1"/>
            </w14:solidFill>
          </w14:textFill>
        </w:rPr>
        <w:t>号）和《湖南省人力资源和社会保障厅</w:t>
      </w: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14:textFill>
            <w14:solidFill>
              <w14:schemeClr w14:val="tx1"/>
            </w14:solidFill>
          </w14:textFill>
        </w:rPr>
        <w:t>湖南省财政厅</w:t>
      </w:r>
      <w:r>
        <w:rPr>
          <w:rFonts w:hint="eastAsia" w:ascii="仿宋" w:hAnsi="仿宋" w:eastAsia="仿宋" w:cs="仿宋"/>
          <w:color w:val="000000" w:themeColor="text1"/>
          <w:spacing w:val="0"/>
          <w:sz w:val="32"/>
          <w:szCs w:val="32"/>
          <w:lang w:eastAsia="zh-CN"/>
          <w14:textFill>
            <w14:solidFill>
              <w14:schemeClr w14:val="tx1"/>
            </w14:solidFill>
          </w14:textFill>
        </w:rPr>
        <w:t>关于</w:t>
      </w:r>
      <w:r>
        <w:rPr>
          <w:rFonts w:hint="eastAsia" w:ascii="仿宋" w:hAnsi="仿宋" w:eastAsia="仿宋" w:cs="仿宋"/>
          <w:color w:val="000000" w:themeColor="text1"/>
          <w:spacing w:val="0"/>
          <w:sz w:val="32"/>
          <w:szCs w:val="32"/>
          <w:lang w:val="en-US" w:eastAsia="zh-CN"/>
          <w14:textFill>
            <w14:solidFill>
              <w14:schemeClr w14:val="tx1"/>
            </w14:solidFill>
          </w14:textFill>
        </w:rPr>
        <w:t>2025年调整退休人员基本养老金的通知</w:t>
      </w:r>
      <w:r>
        <w:rPr>
          <w:rFonts w:hint="eastAsia" w:ascii="仿宋" w:hAnsi="仿宋" w:eastAsia="仿宋" w:cs="仿宋"/>
          <w:color w:val="000000" w:themeColor="text1"/>
          <w:spacing w:val="0"/>
          <w:sz w:val="32"/>
          <w:szCs w:val="32"/>
          <w14:textFill>
            <w14:solidFill>
              <w14:schemeClr w14:val="tx1"/>
            </w14:solidFill>
          </w14:textFill>
        </w:rPr>
        <w:t>》（湘人社</w:t>
      </w:r>
      <w:r>
        <w:rPr>
          <w:rFonts w:hint="eastAsia" w:ascii="仿宋" w:hAnsi="仿宋" w:eastAsia="仿宋" w:cs="仿宋"/>
          <w:color w:val="000000" w:themeColor="text1"/>
          <w:spacing w:val="0"/>
          <w:sz w:val="32"/>
          <w:szCs w:val="32"/>
          <w:lang w:eastAsia="zh-CN"/>
          <w14:textFill>
            <w14:solidFill>
              <w14:schemeClr w14:val="tx1"/>
            </w14:solidFill>
          </w14:textFill>
        </w:rPr>
        <w:t>规</w:t>
      </w:r>
      <w:r>
        <w:rPr>
          <w:rFonts w:hint="eastAsia" w:ascii="仿宋" w:hAnsi="仿宋" w:eastAsia="仿宋" w:cs="仿宋"/>
          <w:color w:val="000000" w:themeColor="text1"/>
          <w:spacing w:val="0"/>
          <w:sz w:val="32"/>
          <w:szCs w:val="32"/>
          <w14:textFill>
            <w14:solidFill>
              <w14:schemeClr w14:val="tx1"/>
            </w14:solidFill>
          </w14:textFill>
        </w:rPr>
        <w:t>〔20</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号）等有关文件精神，决定从20</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年1月1日起调整工伤人员伤残津贴和因工死亡职工供养亲属抚恤金。现就有关事项通知如下：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一、工伤人员伤残津贴的调整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（一）调整时间和范围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从20</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年1月1日起，对</w:t>
      </w:r>
      <w:r>
        <w:rPr>
          <w:rFonts w:hint="eastAsia" w:ascii="仿宋" w:hAnsi="仿宋" w:eastAsia="仿宋" w:cs="仿宋"/>
          <w:color w:val="000000" w:themeColor="text1"/>
          <w:spacing w:val="0"/>
          <w:sz w:val="32"/>
          <w:szCs w:val="32"/>
          <w:lang w:eastAsia="zh-CN"/>
          <w14:textFill>
            <w14:solidFill>
              <w14:schemeClr w14:val="tx1"/>
            </w14:solidFill>
          </w14:textFill>
        </w:rPr>
        <w:t>自</w:t>
      </w:r>
      <w:r>
        <w:rPr>
          <w:rFonts w:hint="eastAsia" w:ascii="仿宋" w:hAnsi="仿宋" w:eastAsia="仿宋" w:cs="仿宋"/>
          <w:color w:val="000000" w:themeColor="text1"/>
          <w:spacing w:val="0"/>
          <w:sz w:val="32"/>
          <w:szCs w:val="32"/>
          <w14:textFill>
            <w14:solidFill>
              <w14:schemeClr w14:val="tx1"/>
            </w14:solidFill>
          </w14:textFill>
        </w:rPr>
        <w:t>《工伤保险条例》实施后（2004年1月1日后）</w:t>
      </w:r>
      <w:r>
        <w:rPr>
          <w:rFonts w:hint="eastAsia" w:ascii="仿宋" w:hAnsi="仿宋" w:eastAsia="仿宋" w:cs="仿宋"/>
          <w:color w:val="000000" w:themeColor="text1"/>
          <w:spacing w:val="0"/>
          <w:sz w:val="32"/>
          <w:szCs w:val="32"/>
          <w:lang w:eastAsia="zh-CN"/>
          <w14:textFill>
            <w14:solidFill>
              <w14:schemeClr w14:val="tx1"/>
            </w14:solidFill>
          </w14:textFill>
        </w:rPr>
        <w:t>至</w:t>
      </w:r>
      <w:r>
        <w:rPr>
          <w:rFonts w:hint="eastAsia" w:ascii="仿宋" w:hAnsi="仿宋" w:eastAsia="仿宋" w:cs="仿宋"/>
          <w:color w:val="000000" w:themeColor="text1"/>
          <w:spacing w:val="0"/>
          <w:sz w:val="32"/>
          <w:szCs w:val="32"/>
          <w14:textFill>
            <w14:solidFill>
              <w14:schemeClr w14:val="tx1"/>
            </w14:solidFill>
          </w14:textFill>
        </w:rPr>
        <w:t>20</w:t>
      </w:r>
      <w:r>
        <w:rPr>
          <w:rFonts w:hint="eastAsia" w:ascii="仿宋" w:hAnsi="仿宋" w:eastAsia="仿宋" w:cs="仿宋"/>
          <w:color w:val="000000" w:themeColor="text1"/>
          <w:spacing w:val="0"/>
          <w:sz w:val="32"/>
          <w:szCs w:val="32"/>
          <w:lang w:val="en-US" w:eastAsia="zh-CN"/>
          <w14:textFill>
            <w14:solidFill>
              <w14:schemeClr w14:val="tx1"/>
            </w14:solidFill>
          </w14:textFill>
        </w:rPr>
        <w:t>24</w:t>
      </w:r>
      <w:r>
        <w:rPr>
          <w:rFonts w:hint="eastAsia" w:ascii="仿宋" w:hAnsi="仿宋" w:eastAsia="仿宋" w:cs="仿宋"/>
          <w:color w:val="000000" w:themeColor="text1"/>
          <w:spacing w:val="0"/>
          <w:sz w:val="32"/>
          <w:szCs w:val="32"/>
          <w14:textFill>
            <w14:solidFill>
              <w14:schemeClr w14:val="tx1"/>
            </w14:solidFill>
          </w14:textFill>
        </w:rPr>
        <w:t>年12月31日前，按照《工伤保险条例》的规定，已享受伤残津贴的在职工伤人员</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调整伤残津贴。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（二）调整标准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符合以上调整伤残津贴范围的工伤人员，其伤残津贴每人每月增加</w:t>
      </w:r>
      <w:r>
        <w:rPr>
          <w:rFonts w:hint="eastAsia" w:ascii="仿宋" w:hAnsi="仿宋" w:eastAsia="仿宋" w:cs="仿宋"/>
          <w:color w:val="000000" w:themeColor="text1"/>
          <w:spacing w:val="0"/>
          <w:sz w:val="32"/>
          <w:szCs w:val="32"/>
          <w:lang w:val="en-US" w:eastAsia="zh-CN"/>
          <w14:textFill>
            <w14:solidFill>
              <w14:schemeClr w14:val="tx1"/>
            </w14:solidFill>
          </w14:textFill>
        </w:rPr>
        <w:t>65</w:t>
      </w:r>
      <w:r>
        <w:rPr>
          <w:rFonts w:hint="eastAsia" w:ascii="仿宋" w:hAnsi="仿宋" w:eastAsia="仿宋" w:cs="仿宋"/>
          <w:color w:val="000000" w:themeColor="text1"/>
          <w:spacing w:val="0"/>
          <w:sz w:val="32"/>
          <w:szCs w:val="32"/>
          <w14:textFill>
            <w14:solidFill>
              <w14:schemeClr w14:val="tx1"/>
            </w14:solidFill>
          </w14:textFill>
        </w:rPr>
        <w:t>元。本次调整后，伤残津贴低于</w:t>
      </w:r>
      <w:r>
        <w:rPr>
          <w:rFonts w:hint="eastAsia" w:ascii="仿宋" w:hAnsi="仿宋" w:eastAsia="仿宋" w:cs="仿宋"/>
          <w:color w:val="000000" w:themeColor="text1"/>
          <w:spacing w:val="0"/>
          <w:sz w:val="32"/>
          <w:szCs w:val="32"/>
          <w:lang w:eastAsia="zh-CN"/>
          <w14:textFill>
            <w14:solidFill>
              <w14:schemeClr w14:val="tx1"/>
            </w14:solidFill>
          </w14:textFill>
        </w:rPr>
        <w:t>全省同期月</w:t>
      </w:r>
      <w:r>
        <w:rPr>
          <w:rFonts w:hint="eastAsia" w:ascii="仿宋" w:hAnsi="仿宋" w:eastAsia="仿宋" w:cs="仿宋"/>
          <w:color w:val="000000" w:themeColor="text1"/>
          <w:spacing w:val="0"/>
          <w:sz w:val="32"/>
          <w:szCs w:val="32"/>
          <w14:textFill>
            <w14:solidFill>
              <w14:schemeClr w14:val="tx1"/>
            </w14:solidFill>
          </w14:textFill>
        </w:rPr>
        <w:t>最低工资标准</w:t>
      </w:r>
      <w:r>
        <w:rPr>
          <w:rFonts w:hint="eastAsia" w:ascii="仿宋" w:hAnsi="仿宋" w:eastAsia="仿宋" w:cs="仿宋"/>
          <w:color w:val="000000" w:themeColor="text1"/>
          <w:spacing w:val="0"/>
          <w:sz w:val="32"/>
          <w:szCs w:val="32"/>
          <w:lang w:eastAsia="zh-CN"/>
          <w14:textFill>
            <w14:solidFill>
              <w14:schemeClr w14:val="tx1"/>
            </w14:solidFill>
          </w14:textFill>
        </w:rPr>
        <w:t>第一档</w:t>
      </w:r>
      <w:r>
        <w:rPr>
          <w:rFonts w:hint="eastAsia" w:ascii="仿宋" w:hAnsi="仿宋" w:eastAsia="仿宋" w:cs="仿宋"/>
          <w:color w:val="000000" w:themeColor="text1"/>
          <w:spacing w:val="0"/>
          <w:sz w:val="32"/>
          <w:szCs w:val="32"/>
          <w14:textFill>
            <w14:solidFill>
              <w14:schemeClr w14:val="tx1"/>
            </w14:solidFill>
          </w14:textFill>
        </w:rPr>
        <w:t>的，补足到</w:t>
      </w:r>
      <w:r>
        <w:rPr>
          <w:rFonts w:hint="eastAsia" w:ascii="仿宋" w:hAnsi="仿宋" w:eastAsia="仿宋" w:cs="仿宋"/>
          <w:color w:val="000000" w:themeColor="text1"/>
          <w:spacing w:val="0"/>
          <w:sz w:val="32"/>
          <w:szCs w:val="32"/>
          <w:lang w:eastAsia="zh-CN"/>
          <w14:textFill>
            <w14:solidFill>
              <w14:schemeClr w14:val="tx1"/>
            </w14:solidFill>
          </w14:textFill>
        </w:rPr>
        <w:t>全省同期月</w:t>
      </w:r>
      <w:r>
        <w:rPr>
          <w:rFonts w:hint="eastAsia" w:ascii="仿宋" w:hAnsi="仿宋" w:eastAsia="仿宋" w:cs="仿宋"/>
          <w:color w:val="000000" w:themeColor="text1"/>
          <w:spacing w:val="0"/>
          <w:sz w:val="32"/>
          <w:szCs w:val="32"/>
          <w14:textFill>
            <w14:solidFill>
              <w14:schemeClr w14:val="tx1"/>
            </w14:solidFill>
          </w14:textFill>
        </w:rPr>
        <w:t>最低工资标准</w:t>
      </w:r>
      <w:r>
        <w:rPr>
          <w:rFonts w:hint="eastAsia" w:ascii="仿宋" w:hAnsi="仿宋" w:eastAsia="仿宋" w:cs="仿宋"/>
          <w:color w:val="000000" w:themeColor="text1"/>
          <w:spacing w:val="0"/>
          <w:sz w:val="32"/>
          <w:szCs w:val="32"/>
          <w:lang w:eastAsia="zh-CN"/>
          <w14:textFill>
            <w14:solidFill>
              <w14:schemeClr w14:val="tx1"/>
            </w14:solidFill>
          </w14:textFill>
        </w:rPr>
        <w:t>第一档</w:t>
      </w:r>
      <w:r>
        <w:rPr>
          <w:rFonts w:hint="eastAsia" w:ascii="仿宋" w:hAnsi="仿宋" w:eastAsia="仿宋" w:cs="仿宋"/>
          <w:color w:val="000000" w:themeColor="text1"/>
          <w:spacing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（三）资金来源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参加了工伤保险社会统筹并由工伤保险基金支付伤残津贴的工伤人员，增加的伤残津贴，由工伤保险基金支付；参加了工伤保险社会统筹并由用人单位支付伤残津贴的人员，增加的伤残津贴，由用人单位支付。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未参加工伤保险社会统筹</w:t>
      </w:r>
      <w:r>
        <w:rPr>
          <w:rFonts w:hint="eastAsia" w:ascii="仿宋" w:hAnsi="仿宋" w:eastAsia="仿宋" w:cs="仿宋"/>
          <w:color w:val="000000" w:themeColor="text1"/>
          <w:spacing w:val="0"/>
          <w:sz w:val="32"/>
          <w:szCs w:val="32"/>
          <w:lang w:eastAsia="zh-CN"/>
          <w14:textFill>
            <w14:solidFill>
              <w14:schemeClr w14:val="tx1"/>
            </w14:solidFill>
          </w14:textFill>
        </w:rPr>
        <w:t>但</w:t>
      </w:r>
      <w:r>
        <w:rPr>
          <w:rFonts w:hint="eastAsia" w:ascii="仿宋" w:hAnsi="仿宋" w:eastAsia="仿宋" w:cs="仿宋"/>
          <w:color w:val="000000" w:themeColor="text1"/>
          <w:spacing w:val="0"/>
          <w:sz w:val="32"/>
          <w:szCs w:val="32"/>
          <w14:textFill>
            <w14:solidFill>
              <w14:schemeClr w14:val="tx1"/>
            </w14:solidFill>
          </w14:textFill>
        </w:rPr>
        <w:t>享受伤残津贴的工伤人员，调整伤残津贴所需资金按原渠道解决。其中已移交市州、县市区政府管理的中央下放关闭破产企业和省属国有改革改制企业的工伤人员，按本通知调整伤残津贴（或伤残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二、因工死亡职工供养亲属抚恤金的调整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（一）调整时间和范围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从20</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年1月1日起，对20</w:t>
      </w:r>
      <w:r>
        <w:rPr>
          <w:rFonts w:hint="eastAsia" w:ascii="仿宋" w:hAnsi="仿宋" w:eastAsia="仿宋" w:cs="仿宋"/>
          <w:color w:val="000000" w:themeColor="text1"/>
          <w:spacing w:val="0"/>
          <w:sz w:val="32"/>
          <w:szCs w:val="32"/>
          <w:lang w:val="en-US" w:eastAsia="zh-CN"/>
          <w14:textFill>
            <w14:solidFill>
              <w14:schemeClr w14:val="tx1"/>
            </w14:solidFill>
          </w14:textFill>
        </w:rPr>
        <w:t>24</w:t>
      </w:r>
      <w:r>
        <w:rPr>
          <w:rFonts w:hint="eastAsia" w:ascii="仿宋" w:hAnsi="仿宋" w:eastAsia="仿宋" w:cs="仿宋"/>
          <w:color w:val="000000" w:themeColor="text1"/>
          <w:spacing w:val="0"/>
          <w:sz w:val="32"/>
          <w:szCs w:val="32"/>
          <w14:textFill>
            <w14:solidFill>
              <w14:schemeClr w14:val="tx1"/>
            </w14:solidFill>
          </w14:textFill>
        </w:rPr>
        <w:t>年12月31日前已认定为因工死亡职工的供养亲属仍符合领取供养亲属抚恤金条件并按月领取供养亲属抚恤金的人员，调整供养亲属抚恤金。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（二）调整标准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符合调整供养亲属抚恤金范围的因工死亡职工供养亲属，其供养亲属抚恤金每人每月增加</w:t>
      </w:r>
      <w:r>
        <w:rPr>
          <w:rFonts w:hint="eastAsia" w:ascii="仿宋" w:hAnsi="仿宋" w:eastAsia="仿宋" w:cs="仿宋"/>
          <w:color w:val="000000" w:themeColor="text1"/>
          <w:spacing w:val="0"/>
          <w:sz w:val="32"/>
          <w:szCs w:val="32"/>
          <w:lang w:val="en-US" w:eastAsia="zh-CN"/>
          <w14:textFill>
            <w14:solidFill>
              <w14:schemeClr w14:val="tx1"/>
            </w14:solidFill>
          </w14:textFill>
        </w:rPr>
        <w:t>26</w:t>
      </w:r>
      <w:r>
        <w:rPr>
          <w:rFonts w:hint="eastAsia" w:ascii="仿宋" w:hAnsi="仿宋" w:eastAsia="仿宋" w:cs="仿宋"/>
          <w:color w:val="000000" w:themeColor="text1"/>
          <w:spacing w:val="0"/>
          <w:sz w:val="32"/>
          <w:szCs w:val="32"/>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r>
        <w:rPr>
          <w:rFonts w:hint="eastAsia" w:ascii="楷体" w:hAnsi="楷体" w:eastAsia="楷体" w:cs="楷体"/>
          <w:color w:val="000000" w:themeColor="text1"/>
          <w:spacing w:val="0"/>
          <w:sz w:val="32"/>
          <w:szCs w:val="32"/>
          <w14:textFill>
            <w14:solidFill>
              <w14:schemeClr w14:val="tx1"/>
            </w14:solidFill>
          </w14:textFill>
        </w:rPr>
        <w:t>（三）资金来源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调整后的供养亲属抚恤金由原渠道支付。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关闭破产时已移交市州、县市区政府管理的中央下放关闭破产企业和已预留因工死亡职工供养亲属抚恤金的省属国有改革改制企业，按本通知调整因工死亡职工供养亲属抚恤金标准增加的经费，由市州、县市区负责解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已移交市州、县市区政府管理的省属国有改革改制企业</w:t>
      </w:r>
      <w:r>
        <w:rPr>
          <w:rFonts w:hint="eastAsia" w:ascii="仿宋" w:hAnsi="仿宋" w:eastAsia="仿宋" w:cs="仿宋"/>
          <w:color w:val="000000" w:themeColor="text1"/>
          <w:spacing w:val="0"/>
          <w:sz w:val="32"/>
          <w:szCs w:val="32"/>
          <w:lang w:eastAsia="zh-CN"/>
          <w14:textFill>
            <w14:solidFill>
              <w14:schemeClr w14:val="tx1"/>
            </w14:solidFill>
          </w14:textFill>
        </w:rPr>
        <w:t>但</w:t>
      </w:r>
      <w:r>
        <w:rPr>
          <w:rFonts w:hint="eastAsia" w:ascii="仿宋" w:hAnsi="仿宋" w:eastAsia="仿宋" w:cs="仿宋"/>
          <w:color w:val="000000" w:themeColor="text1"/>
          <w:spacing w:val="0"/>
          <w:sz w:val="32"/>
          <w:szCs w:val="32"/>
          <w14:textFill>
            <w14:solidFill>
              <w14:schemeClr w14:val="tx1"/>
            </w14:solidFill>
          </w14:textFill>
        </w:rPr>
        <w:t>未预留因工死亡职工供养亲属抚恤金的，按本通知调整因工死亡职工供养亲属抚恤金标准增加的经费，由省级财政解决。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黑体" w:hAnsi="黑体" w:eastAsia="黑体" w:cs="黑体"/>
          <w:color w:val="000000" w:themeColor="text1"/>
          <w:spacing w:val="0"/>
          <w:sz w:val="32"/>
          <w:szCs w:val="32"/>
          <w14:textFill>
            <w14:solidFill>
              <w14:schemeClr w14:val="tx1"/>
            </w14:solidFill>
          </w14:textFill>
        </w:rPr>
      </w:pPr>
      <w:r>
        <w:rPr>
          <w:rFonts w:hint="eastAsia" w:ascii="黑体" w:hAnsi="黑体" w:eastAsia="黑体" w:cs="黑体"/>
          <w:color w:val="000000" w:themeColor="text1"/>
          <w:spacing w:val="0"/>
          <w:sz w:val="32"/>
          <w:szCs w:val="32"/>
          <w14:textFill>
            <w14:solidFill>
              <w14:schemeClr w14:val="tx1"/>
            </w14:solidFill>
          </w14:textFill>
        </w:rPr>
        <w:t>三、其他有关事项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（一）此次工伤人员伤残津贴和供养亲属抚恤金的调整，参加了工伤保险社会统筹的，根据所属管辖范围和分级管理原则，</w:t>
      </w:r>
      <w:r>
        <w:rPr>
          <w:rFonts w:hint="eastAsia" w:ascii="仿宋" w:hAnsi="仿宋" w:eastAsia="仿宋" w:cs="仿宋"/>
          <w:color w:val="000000" w:themeColor="text1"/>
          <w:spacing w:val="0"/>
          <w:sz w:val="32"/>
          <w:szCs w:val="32"/>
          <w:lang w:eastAsia="zh-CN"/>
          <w14:textFill>
            <w14:solidFill>
              <w14:schemeClr w14:val="tx1"/>
            </w14:solidFill>
          </w14:textFill>
        </w:rPr>
        <w:t>各地</w:t>
      </w:r>
      <w:r>
        <w:rPr>
          <w:rFonts w:hint="eastAsia" w:ascii="仿宋" w:hAnsi="仿宋" w:eastAsia="仿宋" w:cs="仿宋"/>
          <w:color w:val="000000" w:themeColor="text1"/>
          <w:spacing w:val="0"/>
          <w:sz w:val="32"/>
          <w:szCs w:val="32"/>
          <w14:textFill>
            <w14:solidFill>
              <w14:schemeClr w14:val="tx1"/>
            </w14:solidFill>
          </w14:textFill>
        </w:rPr>
        <w:t>工伤保险经办机构</w:t>
      </w:r>
      <w:r>
        <w:rPr>
          <w:rFonts w:hint="eastAsia" w:ascii="仿宋" w:hAnsi="仿宋" w:eastAsia="仿宋" w:cs="仿宋"/>
          <w:color w:val="000000" w:themeColor="text1"/>
          <w:spacing w:val="0"/>
          <w:sz w:val="32"/>
          <w:szCs w:val="32"/>
          <w:lang w:eastAsia="zh-CN"/>
          <w14:textFill>
            <w14:solidFill>
              <w14:schemeClr w14:val="tx1"/>
            </w14:solidFill>
          </w14:textFill>
        </w:rPr>
        <w:t>可</w:t>
      </w:r>
      <w:r>
        <w:rPr>
          <w:rFonts w:hint="eastAsia" w:ascii="仿宋" w:hAnsi="仿宋" w:eastAsia="仿宋" w:cs="仿宋"/>
          <w:color w:val="000000" w:themeColor="text1"/>
          <w:spacing w:val="0"/>
          <w:sz w:val="32"/>
          <w:szCs w:val="32"/>
          <w14:textFill>
            <w14:solidFill>
              <w14:schemeClr w14:val="tx1"/>
            </w14:solidFill>
          </w14:textFill>
        </w:rPr>
        <w:t>在经办信息系统中统一设置，</w:t>
      </w:r>
      <w:r>
        <w:rPr>
          <w:rFonts w:hint="eastAsia" w:ascii="仿宋" w:hAnsi="仿宋" w:eastAsia="仿宋" w:cs="仿宋"/>
          <w:color w:val="000000" w:themeColor="text1"/>
          <w:spacing w:val="0"/>
          <w:sz w:val="32"/>
          <w:szCs w:val="32"/>
          <w:lang w:eastAsia="zh-CN"/>
          <w14:textFill>
            <w14:solidFill>
              <w14:schemeClr w14:val="tx1"/>
            </w14:solidFill>
          </w14:textFill>
        </w:rPr>
        <w:t>经</w:t>
      </w:r>
      <w:r>
        <w:rPr>
          <w:rFonts w:hint="eastAsia" w:ascii="仿宋" w:hAnsi="仿宋" w:eastAsia="仿宋" w:cs="仿宋"/>
          <w:color w:val="000000" w:themeColor="text1"/>
          <w:spacing w:val="0"/>
          <w:sz w:val="32"/>
          <w:szCs w:val="32"/>
          <w14:textFill>
            <w14:solidFill>
              <w14:schemeClr w14:val="tx1"/>
            </w14:solidFill>
          </w14:textFill>
        </w:rPr>
        <w:t>核对无误后进行调整。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（二）参加了工伤保险社会统筹的</w:t>
      </w:r>
      <w:r>
        <w:rPr>
          <w:rFonts w:hint="eastAsia" w:ascii="仿宋" w:hAnsi="仿宋" w:eastAsia="仿宋" w:cs="仿宋"/>
          <w:color w:val="000000" w:themeColor="text1"/>
          <w:spacing w:val="0"/>
          <w:sz w:val="32"/>
          <w:szCs w:val="32"/>
          <w:lang w:eastAsia="zh-CN"/>
          <w14:textFill>
            <w14:solidFill>
              <w14:schemeClr w14:val="tx1"/>
            </w14:solidFill>
          </w14:textFill>
        </w:rPr>
        <w:t>用人单位</w:t>
      </w:r>
      <w:r>
        <w:rPr>
          <w:rFonts w:hint="eastAsia" w:ascii="仿宋" w:hAnsi="仿宋" w:eastAsia="仿宋" w:cs="仿宋"/>
          <w:color w:val="000000" w:themeColor="text1"/>
          <w:spacing w:val="0"/>
          <w:sz w:val="32"/>
          <w:szCs w:val="32"/>
          <w14:textFill>
            <w14:solidFill>
              <w14:schemeClr w14:val="tx1"/>
            </w14:solidFill>
          </w14:textFill>
        </w:rPr>
        <w:t>，在参加工伤保险社会统筹后享受伤残津贴的工伤人员，按照本通知第一部分的规定调整伤残津贴；在参加工伤保险社会统筹后认定为因工死亡的职工，其供养亲属中符合领取供养亲属抚恤金条件并按月领取供养亲属抚恤金的人员，按照本通知第二部分的规定调整供养亲属抚恤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（三）对于《工伤保险条例》实施前（2003年12月31日前）发生的工伤，其工伤人员中目前仍按月享受伤残抚恤金的，其伤残抚恤金的调整标准和资金来源按照本通知第一部分第（二）、（三）项的规定进行。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（四）工伤人员伤残津贴和供养亲属抚恤金支付渠道有新规定时，增加的经费支付渠道从新规定。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（五）已享受基本养老保险待遇，按照《</w:t>
      </w:r>
      <w:r>
        <w:rPr>
          <w:rFonts w:hint="eastAsia" w:ascii="仿宋" w:hAnsi="仿宋" w:eastAsia="仿宋" w:cs="仿宋"/>
          <w:color w:val="000000" w:themeColor="text1"/>
          <w:spacing w:val="0"/>
          <w:sz w:val="32"/>
          <w:szCs w:val="32"/>
          <w:lang w:eastAsia="zh-CN"/>
          <w14:textFill>
            <w14:solidFill>
              <w14:schemeClr w14:val="tx1"/>
            </w14:solidFill>
          </w14:textFill>
        </w:rPr>
        <w:t>关于</w:t>
      </w:r>
      <w:r>
        <w:rPr>
          <w:rFonts w:hint="eastAsia" w:ascii="仿宋" w:hAnsi="仿宋" w:eastAsia="仿宋" w:cs="仿宋"/>
          <w:color w:val="000000" w:themeColor="text1"/>
          <w:spacing w:val="0"/>
          <w:sz w:val="32"/>
          <w:szCs w:val="32"/>
          <w:lang w:val="en-US" w:eastAsia="zh-CN"/>
          <w14:textFill>
            <w14:solidFill>
              <w14:schemeClr w14:val="tx1"/>
            </w14:solidFill>
          </w14:textFill>
        </w:rPr>
        <w:t>2025年调整退休人员基本养老金的通知</w:t>
      </w:r>
      <w:r>
        <w:rPr>
          <w:rFonts w:hint="eastAsia" w:ascii="仿宋" w:hAnsi="仿宋" w:eastAsia="仿宋" w:cs="仿宋"/>
          <w:color w:val="000000" w:themeColor="text1"/>
          <w:spacing w:val="0"/>
          <w:sz w:val="32"/>
          <w:szCs w:val="32"/>
          <w14:textFill>
            <w14:solidFill>
              <w14:schemeClr w14:val="tx1"/>
            </w14:solidFill>
          </w14:textFill>
        </w:rPr>
        <w:t>》</w:t>
      </w:r>
      <w:r>
        <w:rPr>
          <w:rFonts w:hint="eastAsia" w:ascii="仿宋" w:hAnsi="仿宋" w:eastAsia="仿宋" w:cs="仿宋"/>
          <w:color w:val="000000" w:themeColor="text1"/>
          <w:spacing w:val="0"/>
          <w:sz w:val="32"/>
          <w:szCs w:val="32"/>
          <w:lang w:eastAsia="zh-CN"/>
          <w14:textFill>
            <w14:solidFill>
              <w14:schemeClr w14:val="tx1"/>
            </w14:solidFill>
          </w14:textFill>
        </w:rPr>
        <w:t>（湘人社规〔</w:t>
      </w:r>
      <w:r>
        <w:rPr>
          <w:rFonts w:hint="eastAsia" w:ascii="仿宋" w:hAnsi="仿宋" w:eastAsia="仿宋" w:cs="仿宋"/>
          <w:color w:val="000000" w:themeColor="text1"/>
          <w:spacing w:val="0"/>
          <w:sz w:val="32"/>
          <w:szCs w:val="32"/>
          <w:lang w:val="en-US" w:eastAsia="zh-CN"/>
          <w14:textFill>
            <w14:solidFill>
              <w14:schemeClr w14:val="tx1"/>
            </w14:solidFill>
          </w14:textFill>
        </w:rPr>
        <w:t>2025〕25号</w:t>
      </w:r>
      <w:r>
        <w:rPr>
          <w:rFonts w:hint="eastAsia" w:ascii="仿宋" w:hAnsi="仿宋" w:eastAsia="仿宋" w:cs="仿宋"/>
          <w:color w:val="000000" w:themeColor="text1"/>
          <w:spacing w:val="0"/>
          <w:sz w:val="32"/>
          <w:szCs w:val="32"/>
          <w:lang w:eastAsia="zh-CN"/>
          <w14:textFill>
            <w14:solidFill>
              <w14:schemeClr w14:val="tx1"/>
            </w14:solidFill>
          </w14:textFill>
        </w:rPr>
        <w:t>）</w:t>
      </w:r>
      <w:r>
        <w:rPr>
          <w:rFonts w:hint="eastAsia" w:ascii="仿宋" w:hAnsi="仿宋" w:eastAsia="仿宋" w:cs="仿宋"/>
          <w:color w:val="000000" w:themeColor="text1"/>
          <w:spacing w:val="0"/>
          <w:sz w:val="32"/>
          <w:szCs w:val="32"/>
          <w14:textFill>
            <w14:solidFill>
              <w14:schemeClr w14:val="tx1"/>
            </w14:solidFill>
          </w14:textFill>
        </w:rPr>
        <w:t>文件规定调整基本养老金的人员，不再按照本通知的规定调整伤残津贴和供养亲属抚恤金。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14:textFill>
            <w14:solidFill>
              <w14:schemeClr w14:val="tx1"/>
            </w14:solidFill>
          </w14:textFill>
        </w:rPr>
        <w:t>对工伤人员伤残津贴和因工死亡职工供养亲属抚恤金的调整提高，关系到这部分群体的切身利益。各地要高度重视，切实加强领导，认真组织实施，确保这项工作顺利进行。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14:textFill>
            <w14:solidFill>
              <w14:schemeClr w14:val="tx1"/>
            </w14:solidFill>
          </w14:textFill>
        </w:rPr>
        <w:t xml:space="preserve">湖南省人力资源和社会保障厅       </w:t>
      </w: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14:textFill>
            <w14:solidFill>
              <w14:schemeClr w14:val="tx1"/>
            </w14:solidFill>
          </w14:textFill>
        </w:rPr>
        <w:t xml:space="preserve"> 湖南省财政厅</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000000" w:themeColor="text1"/>
          <w:spacing w:val="0"/>
          <w:sz w:val="32"/>
          <w:szCs w:val="32"/>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sz w:val="32"/>
          <w:szCs w:val="32"/>
          <w14:textFill>
            <w14:solidFill>
              <w14:schemeClr w14:val="tx1"/>
            </w14:solidFill>
          </w14:textFill>
        </w:rPr>
        <w:t>20</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年</w:t>
      </w:r>
      <w:r>
        <w:rPr>
          <w:rFonts w:hint="eastAsia" w:ascii="仿宋" w:hAnsi="仿宋" w:eastAsia="仿宋" w:cs="仿宋"/>
          <w:color w:val="000000" w:themeColor="text1"/>
          <w:spacing w:val="0"/>
          <w:sz w:val="32"/>
          <w:szCs w:val="32"/>
          <w:lang w:val="en-US" w:eastAsia="zh-CN"/>
          <w14:textFill>
            <w14:solidFill>
              <w14:schemeClr w14:val="tx1"/>
            </w14:solidFill>
          </w14:textFill>
        </w:rPr>
        <w:t>9</w:t>
      </w:r>
      <w:r>
        <w:rPr>
          <w:rFonts w:hint="eastAsia" w:ascii="仿宋" w:hAnsi="仿宋" w:eastAsia="仿宋" w:cs="仿宋"/>
          <w:color w:val="000000" w:themeColor="text1"/>
          <w:spacing w:val="0"/>
          <w:sz w:val="32"/>
          <w:szCs w:val="32"/>
          <w14:textFill>
            <w14:solidFill>
              <w14:schemeClr w14:val="tx1"/>
            </w14:solidFill>
          </w14:textFill>
        </w:rPr>
        <w:t>月</w:t>
      </w:r>
      <w:r>
        <w:rPr>
          <w:rFonts w:hint="eastAsia" w:ascii="仿宋" w:hAnsi="仿宋" w:eastAsia="仿宋" w:cs="仿宋"/>
          <w:color w:val="000000" w:themeColor="text1"/>
          <w:spacing w:val="0"/>
          <w:sz w:val="32"/>
          <w:szCs w:val="32"/>
          <w:lang w:val="en-US" w:eastAsia="zh-CN"/>
          <w14:textFill>
            <w14:solidFill>
              <w14:schemeClr w14:val="tx1"/>
            </w14:solidFill>
          </w14:textFill>
        </w:rPr>
        <w:t>25</w:t>
      </w:r>
      <w:r>
        <w:rPr>
          <w:rFonts w:hint="eastAsia" w:ascii="仿宋" w:hAnsi="仿宋" w:eastAsia="仿宋" w:cs="仿宋"/>
          <w:color w:val="000000" w:themeColor="text1"/>
          <w:spacing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（此件主动公开）</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 xml:space="preserve">    （联系单位：工伤保险处    0731-84900037）</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仿宋" w:hAnsi="仿宋" w:eastAsia="仿宋" w:cs="仿宋"/>
          <w:color w:val="auto"/>
          <w:spacing w:val="-6"/>
          <w:sz w:val="32"/>
          <w:szCs w:val="32"/>
          <w:highlight w:val="none"/>
          <w:shd w:val="clear" w:color="auto" w:fill="auto"/>
          <w:lang w:val="en-US" w:eastAsia="zh-C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eastAsia" w:ascii="Times New Roman" w:hAnsi="Times New Roman" w:eastAsia="仿宋_GB2312" w:cs="Times New Roman"/>
          <w:color w:val="auto"/>
          <w:kern w:val="2"/>
          <w:sz w:val="32"/>
          <w:szCs w:val="32"/>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湖南省人力资源和社会保障厅办公室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5" w:type="first"/>
      <w:headerReference r:id="rId3" w:type="default"/>
      <w:footerReference r:id="rId4" w:type="default"/>
      <w:pgSz w:w="11906" w:h="16838"/>
      <w:pgMar w:top="2098" w:right="1474" w:bottom="1984" w:left="1587" w:header="851" w:footer="1417"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489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48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7pt;mso-position-horizontal:outside;mso-position-horizontal-relative:margin;z-index:251659264;mso-width-relative:page;mso-height-relative:page;" filled="f" stroked="f" coordsize="21600,21600" o:gfxdata="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v5usAtQAAAAFAQAADwAAAAAAAAAB&#10;ACAAAAA4AAAAZHJzL2Rvd25yZXYueG1sUEsBAhQAFAAAAAgAh07iQGegZ3E3AgAAYwQAAA4AAAAA&#10;AAAAAQAgAAAAOQEAAGRycy9lMm9Eb2MueG1sUEsFBgAAAAAGAAYAWQEAAOIFAAAAAA==&#10;">
              <v:fill on="f" focussize="0,0"/>
              <v:stroke on="f" weight="0.5pt"/>
              <v:imagedata o:title=""/>
              <o:lock v:ext="edit" aspectratio="f"/>
              <v:textbox inset="0mm,0mm,0mm,0mm" style="mso-fit-shape-to-text:t;">
                <w:txbxContent>
                  <w:p>
                    <w:pPr>
                      <w:pStyle w:val="1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71"/>
    <w:rsid w:val="00000ED3"/>
    <w:rsid w:val="00027174"/>
    <w:rsid w:val="00027E0D"/>
    <w:rsid w:val="00033EDC"/>
    <w:rsid w:val="000407D9"/>
    <w:rsid w:val="00063D54"/>
    <w:rsid w:val="00075B8E"/>
    <w:rsid w:val="000C49CF"/>
    <w:rsid w:val="000C7096"/>
    <w:rsid w:val="000E318B"/>
    <w:rsid w:val="000E6F45"/>
    <w:rsid w:val="000F3081"/>
    <w:rsid w:val="00127E95"/>
    <w:rsid w:val="00150678"/>
    <w:rsid w:val="00150C96"/>
    <w:rsid w:val="00150F4F"/>
    <w:rsid w:val="00151B9A"/>
    <w:rsid w:val="00155909"/>
    <w:rsid w:val="001C28D1"/>
    <w:rsid w:val="001C2F20"/>
    <w:rsid w:val="001F7011"/>
    <w:rsid w:val="00213409"/>
    <w:rsid w:val="00214DA8"/>
    <w:rsid w:val="0022732B"/>
    <w:rsid w:val="00235585"/>
    <w:rsid w:val="00236DD8"/>
    <w:rsid w:val="00240523"/>
    <w:rsid w:val="0024666F"/>
    <w:rsid w:val="00253749"/>
    <w:rsid w:val="002567D5"/>
    <w:rsid w:val="00260CA0"/>
    <w:rsid w:val="002624BD"/>
    <w:rsid w:val="0026281B"/>
    <w:rsid w:val="00287ACA"/>
    <w:rsid w:val="00287C62"/>
    <w:rsid w:val="002B04FB"/>
    <w:rsid w:val="002C0F38"/>
    <w:rsid w:val="00326DA3"/>
    <w:rsid w:val="00327AE6"/>
    <w:rsid w:val="003369AD"/>
    <w:rsid w:val="00342EB9"/>
    <w:rsid w:val="00347A00"/>
    <w:rsid w:val="00363196"/>
    <w:rsid w:val="003717F2"/>
    <w:rsid w:val="003945AF"/>
    <w:rsid w:val="003949FA"/>
    <w:rsid w:val="003D35AE"/>
    <w:rsid w:val="003E22C5"/>
    <w:rsid w:val="00410E5C"/>
    <w:rsid w:val="00416326"/>
    <w:rsid w:val="00433944"/>
    <w:rsid w:val="004500CD"/>
    <w:rsid w:val="00452014"/>
    <w:rsid w:val="00473488"/>
    <w:rsid w:val="004831FC"/>
    <w:rsid w:val="004B70AE"/>
    <w:rsid w:val="004C303F"/>
    <w:rsid w:val="004C6E6D"/>
    <w:rsid w:val="004C6FED"/>
    <w:rsid w:val="004E0431"/>
    <w:rsid w:val="00515A10"/>
    <w:rsid w:val="0052541B"/>
    <w:rsid w:val="00547DBE"/>
    <w:rsid w:val="00560185"/>
    <w:rsid w:val="005862FB"/>
    <w:rsid w:val="00586554"/>
    <w:rsid w:val="005915C4"/>
    <w:rsid w:val="005D3C8D"/>
    <w:rsid w:val="005E5B36"/>
    <w:rsid w:val="00612811"/>
    <w:rsid w:val="00616481"/>
    <w:rsid w:val="006401B0"/>
    <w:rsid w:val="0065051C"/>
    <w:rsid w:val="00672276"/>
    <w:rsid w:val="00692234"/>
    <w:rsid w:val="006A5E41"/>
    <w:rsid w:val="006B1BE1"/>
    <w:rsid w:val="006C0822"/>
    <w:rsid w:val="006E38F3"/>
    <w:rsid w:val="00765F1E"/>
    <w:rsid w:val="00771BAA"/>
    <w:rsid w:val="00786B2C"/>
    <w:rsid w:val="007B3B14"/>
    <w:rsid w:val="007C253E"/>
    <w:rsid w:val="007D07CC"/>
    <w:rsid w:val="007D4A92"/>
    <w:rsid w:val="007E72DA"/>
    <w:rsid w:val="007E7764"/>
    <w:rsid w:val="007F0D54"/>
    <w:rsid w:val="007F273B"/>
    <w:rsid w:val="007F5BBC"/>
    <w:rsid w:val="00817C8A"/>
    <w:rsid w:val="00826D2A"/>
    <w:rsid w:val="008366CB"/>
    <w:rsid w:val="00836D29"/>
    <w:rsid w:val="00837DE9"/>
    <w:rsid w:val="008B51A0"/>
    <w:rsid w:val="008C4B8F"/>
    <w:rsid w:val="008D230F"/>
    <w:rsid w:val="008E0EE0"/>
    <w:rsid w:val="009239B4"/>
    <w:rsid w:val="00931337"/>
    <w:rsid w:val="00931E65"/>
    <w:rsid w:val="009525D6"/>
    <w:rsid w:val="00995EDF"/>
    <w:rsid w:val="009B27FC"/>
    <w:rsid w:val="009B6B3F"/>
    <w:rsid w:val="009D4E65"/>
    <w:rsid w:val="009E0060"/>
    <w:rsid w:val="009E2C98"/>
    <w:rsid w:val="00A0248B"/>
    <w:rsid w:val="00A05E10"/>
    <w:rsid w:val="00A25551"/>
    <w:rsid w:val="00A27B8F"/>
    <w:rsid w:val="00A33BA5"/>
    <w:rsid w:val="00A342B1"/>
    <w:rsid w:val="00A34ACD"/>
    <w:rsid w:val="00A40981"/>
    <w:rsid w:val="00A47429"/>
    <w:rsid w:val="00A74134"/>
    <w:rsid w:val="00AA7C48"/>
    <w:rsid w:val="00AB56AD"/>
    <w:rsid w:val="00AC1ECB"/>
    <w:rsid w:val="00AE4F94"/>
    <w:rsid w:val="00AE58F8"/>
    <w:rsid w:val="00B5666F"/>
    <w:rsid w:val="00B60EC6"/>
    <w:rsid w:val="00BA1E2D"/>
    <w:rsid w:val="00BA7743"/>
    <w:rsid w:val="00BC0781"/>
    <w:rsid w:val="00BC4ADA"/>
    <w:rsid w:val="00BD4497"/>
    <w:rsid w:val="00BD61BD"/>
    <w:rsid w:val="00BE4FB0"/>
    <w:rsid w:val="00BF2F3E"/>
    <w:rsid w:val="00C04B94"/>
    <w:rsid w:val="00C10B4E"/>
    <w:rsid w:val="00C2089A"/>
    <w:rsid w:val="00C20C82"/>
    <w:rsid w:val="00C468AA"/>
    <w:rsid w:val="00C52A0F"/>
    <w:rsid w:val="00C60CCB"/>
    <w:rsid w:val="00C72C82"/>
    <w:rsid w:val="00C90537"/>
    <w:rsid w:val="00C970DB"/>
    <w:rsid w:val="00CB1D94"/>
    <w:rsid w:val="00CC320F"/>
    <w:rsid w:val="00CE2FCC"/>
    <w:rsid w:val="00CE4E71"/>
    <w:rsid w:val="00CF29A0"/>
    <w:rsid w:val="00CF3791"/>
    <w:rsid w:val="00D00268"/>
    <w:rsid w:val="00D37147"/>
    <w:rsid w:val="00D45F53"/>
    <w:rsid w:val="00D62089"/>
    <w:rsid w:val="00D64EC6"/>
    <w:rsid w:val="00D66E50"/>
    <w:rsid w:val="00D72365"/>
    <w:rsid w:val="00DA7FD4"/>
    <w:rsid w:val="00DF7615"/>
    <w:rsid w:val="00E02F8B"/>
    <w:rsid w:val="00E24C25"/>
    <w:rsid w:val="00E37B17"/>
    <w:rsid w:val="00E61B6A"/>
    <w:rsid w:val="00E64718"/>
    <w:rsid w:val="00E75A5E"/>
    <w:rsid w:val="00E770B5"/>
    <w:rsid w:val="00EB10D0"/>
    <w:rsid w:val="00EB7619"/>
    <w:rsid w:val="00EF5C84"/>
    <w:rsid w:val="00F11C85"/>
    <w:rsid w:val="00F213CD"/>
    <w:rsid w:val="00F3101E"/>
    <w:rsid w:val="00F34B84"/>
    <w:rsid w:val="00F4564D"/>
    <w:rsid w:val="00F45E49"/>
    <w:rsid w:val="00FA00E1"/>
    <w:rsid w:val="00FA31CF"/>
    <w:rsid w:val="00FB695E"/>
    <w:rsid w:val="00FC163A"/>
    <w:rsid w:val="00FD2D2F"/>
    <w:rsid w:val="00FF4620"/>
    <w:rsid w:val="029101B2"/>
    <w:rsid w:val="063208FA"/>
    <w:rsid w:val="0A7902C9"/>
    <w:rsid w:val="0CE24E6B"/>
    <w:rsid w:val="0E1C26C7"/>
    <w:rsid w:val="12266AA3"/>
    <w:rsid w:val="13DD166E"/>
    <w:rsid w:val="15F31B81"/>
    <w:rsid w:val="17456ABF"/>
    <w:rsid w:val="181A19C7"/>
    <w:rsid w:val="1D0976A1"/>
    <w:rsid w:val="1E641799"/>
    <w:rsid w:val="1F1D562B"/>
    <w:rsid w:val="20EB2BBB"/>
    <w:rsid w:val="21970B90"/>
    <w:rsid w:val="28C156C4"/>
    <w:rsid w:val="306A3DF4"/>
    <w:rsid w:val="37FC9B55"/>
    <w:rsid w:val="383C554F"/>
    <w:rsid w:val="39B42F74"/>
    <w:rsid w:val="3A1A2811"/>
    <w:rsid w:val="3A802D5E"/>
    <w:rsid w:val="3BEBCA72"/>
    <w:rsid w:val="3DF70CC1"/>
    <w:rsid w:val="3F7C2256"/>
    <w:rsid w:val="40415B7A"/>
    <w:rsid w:val="41661AA6"/>
    <w:rsid w:val="42EA4D53"/>
    <w:rsid w:val="451B0685"/>
    <w:rsid w:val="45C50884"/>
    <w:rsid w:val="4E2D22AC"/>
    <w:rsid w:val="52A84E9C"/>
    <w:rsid w:val="55136DA6"/>
    <w:rsid w:val="57B99804"/>
    <w:rsid w:val="587D70F7"/>
    <w:rsid w:val="59915696"/>
    <w:rsid w:val="5C1E3CC1"/>
    <w:rsid w:val="5DFF6930"/>
    <w:rsid w:val="603421F7"/>
    <w:rsid w:val="686B5D0B"/>
    <w:rsid w:val="6C96440D"/>
    <w:rsid w:val="6D6FDCAF"/>
    <w:rsid w:val="6DC46A3C"/>
    <w:rsid w:val="6E5B4F73"/>
    <w:rsid w:val="6F5B11A2"/>
    <w:rsid w:val="70B54C8D"/>
    <w:rsid w:val="72B701E9"/>
    <w:rsid w:val="74D914C8"/>
    <w:rsid w:val="75E6264F"/>
    <w:rsid w:val="75E7135E"/>
    <w:rsid w:val="76622606"/>
    <w:rsid w:val="76725044"/>
    <w:rsid w:val="7685AFCF"/>
    <w:rsid w:val="76A5D919"/>
    <w:rsid w:val="77FFE06B"/>
    <w:rsid w:val="78576384"/>
    <w:rsid w:val="7BEEEF4B"/>
    <w:rsid w:val="7C4E74F4"/>
    <w:rsid w:val="7E7C07B5"/>
    <w:rsid w:val="7EBF8BFE"/>
    <w:rsid w:val="7FBFC8E2"/>
    <w:rsid w:val="7FFE73EA"/>
    <w:rsid w:val="AE0FFAFA"/>
    <w:rsid w:val="BBFBBEDE"/>
    <w:rsid w:val="CFEFC3CF"/>
    <w:rsid w:val="E3BF35C7"/>
    <w:rsid w:val="E7DEB141"/>
    <w:rsid w:val="EFAF3FA5"/>
    <w:rsid w:val="EFFF39DE"/>
    <w:rsid w:val="FB35E6E8"/>
    <w:rsid w:val="FFFBAF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24"/>
      <w:lang w:val="en-US" w:eastAsia="zh-CN" w:bidi="ar-SA"/>
    </w:rPr>
  </w:style>
  <w:style w:type="character" w:default="1" w:styleId="19">
    <w:name w:val="Default Paragraph Font"/>
    <w:link w:val="20"/>
    <w:semiHidden/>
    <w:qFormat/>
    <w:uiPriority w:val="0"/>
    <w:rPr>
      <w:rFonts w:ascii="Verdana" w:hAnsi="Verdana"/>
      <w:kern w:val="0"/>
      <w:szCs w:val="30"/>
      <w:lang w:eastAsia="en-US"/>
    </w:rPr>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3">
    <w:name w:val="index 5"/>
    <w:basedOn w:val="1"/>
    <w:next w:val="1"/>
    <w:qFormat/>
    <w:uiPriority w:val="0"/>
    <w:pPr>
      <w:ind w:left="800" w:leftChars="800"/>
    </w:pPr>
    <w:rPr>
      <w:rFonts w:ascii="Calibri" w:hAnsi="Calibri"/>
      <w:szCs w:val="24"/>
    </w:rPr>
  </w:style>
  <w:style w:type="paragraph" w:styleId="4">
    <w:name w:val="annotation text"/>
    <w:basedOn w:val="1"/>
    <w:unhideWhenUsed/>
    <w:qFormat/>
    <w:uiPriority w:val="0"/>
  </w:style>
  <w:style w:type="paragraph" w:styleId="5">
    <w:name w:val="Body Text Indent"/>
    <w:basedOn w:val="1"/>
    <w:next w:val="6"/>
    <w:qFormat/>
    <w:uiPriority w:val="0"/>
    <w:pPr>
      <w:ind w:firstLine="640" w:firstLineChars="200"/>
    </w:pPr>
    <w:rPr>
      <w:sz w:val="32"/>
    </w:rPr>
  </w:style>
  <w:style w:type="paragraph" w:styleId="6">
    <w:name w:val="annotation subject"/>
    <w:basedOn w:val="4"/>
    <w:next w:val="1"/>
    <w:qFormat/>
    <w:uiPriority w:val="0"/>
    <w:rPr>
      <w:b/>
      <w:bCs/>
    </w:rPr>
  </w:style>
  <w:style w:type="paragraph" w:styleId="7">
    <w:name w:val="Block Text"/>
    <w:basedOn w:val="1"/>
    <w:qFormat/>
    <w:uiPriority w:val="0"/>
    <w:pPr>
      <w:ind w:left="-178" w:leftChars="-85" w:right="-153" w:rightChars="-73" w:firstLine="177" w:firstLineChars="40"/>
      <w:jc w:val="center"/>
    </w:pPr>
    <w:rPr>
      <w:rFonts w:ascii="仿宋_GB2312"/>
      <w:b/>
      <w:bCs/>
      <w:sz w:val="44"/>
    </w:rPr>
  </w:style>
  <w:style w:type="paragraph" w:styleId="8">
    <w:name w:val="Plain Text"/>
    <w:basedOn w:val="1"/>
    <w:qFormat/>
    <w:uiPriority w:val="0"/>
    <w:rPr>
      <w:rFonts w:ascii="宋体" w:hAnsi="Courier New" w:eastAsia="宋体" w:cs="Courier New"/>
      <w:sz w:val="21"/>
      <w:szCs w:val="21"/>
    </w:rPr>
  </w:style>
  <w:style w:type="paragraph" w:styleId="9">
    <w:name w:val="Date"/>
    <w:basedOn w:val="1"/>
    <w:next w:val="1"/>
    <w:qFormat/>
    <w:uiPriority w:val="0"/>
    <w:pPr>
      <w:ind w:left="100" w:leftChars="2500"/>
    </w:pPr>
    <w:rPr>
      <w:rFonts w:eastAsia="方正仿宋简体"/>
      <w:sz w:val="32"/>
    </w:rPr>
  </w:style>
  <w:style w:type="paragraph" w:styleId="10">
    <w:name w:val="Body Text Indent 2"/>
    <w:basedOn w:val="1"/>
    <w:qFormat/>
    <w:uiPriority w:val="0"/>
    <w:pPr>
      <w:ind w:firstLine="600"/>
    </w:pPr>
    <w:rPr>
      <w:rFonts w:eastAsia="楷体_GB2312"/>
      <w:b/>
      <w:bCs/>
    </w:rPr>
  </w:style>
  <w:style w:type="paragraph" w:styleId="11">
    <w:name w:val="Balloon Text"/>
    <w:basedOn w:val="1"/>
    <w:semiHidden/>
    <w:qFormat/>
    <w:uiPriority w:val="0"/>
    <w:rPr>
      <w:sz w:val="18"/>
      <w:szCs w:val="18"/>
    </w:rPr>
  </w:style>
  <w:style w:type="paragraph" w:styleId="12">
    <w:name w:val="footer"/>
    <w:basedOn w:val="1"/>
    <w:next w:val="3"/>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ind w:firstLine="600"/>
    </w:pPr>
    <w:rPr>
      <w:rFonts w:eastAsia="方正仿宋简体"/>
      <w:sz w:val="32"/>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Body Text First Indent 2"/>
    <w:basedOn w:val="5"/>
    <w:next w:val="1"/>
    <w:qFormat/>
    <w:uiPriority w:val="0"/>
    <w:pPr>
      <w:ind w:firstLine="420" w:firstLineChars="200"/>
    </w:pPr>
    <w:rPr>
      <w:rFonts w:ascii="Calibri" w:hAnsi="Calibri"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Char Char Char Char Char1 Char"/>
    <w:basedOn w:val="1"/>
    <w:link w:val="19"/>
    <w:qFormat/>
    <w:uiPriority w:val="0"/>
    <w:pPr>
      <w:widowControl/>
      <w:spacing w:after="160" w:line="240" w:lineRule="exact"/>
      <w:jc w:val="left"/>
    </w:pPr>
    <w:rPr>
      <w:rFonts w:ascii="Verdana" w:hAnsi="Verdana"/>
      <w:kern w:val="0"/>
      <w:szCs w:val="30"/>
      <w:lang w:eastAsia="en-US"/>
    </w:rPr>
  </w:style>
  <w:style w:type="character" w:styleId="21">
    <w:name w:val="page number"/>
    <w:basedOn w:val="19"/>
    <w:qFormat/>
    <w:uiPriority w:val="0"/>
  </w:style>
  <w:style w:type="paragraph" w:customStyle="1" w:styleId="22">
    <w:name w:val=" Char"/>
    <w:basedOn w:val="1"/>
    <w:qFormat/>
    <w:uiPriority w:val="0"/>
    <w:pPr>
      <w:widowControl/>
      <w:spacing w:after="160" w:line="240" w:lineRule="exact"/>
      <w:jc w:val="left"/>
    </w:pPr>
    <w:rPr>
      <w:rFonts w:eastAsia="方正仿宋简体"/>
      <w:sz w:val="32"/>
    </w:rPr>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湖南省就业服务局</Company>
  <Pages>4</Pages>
  <Words>374</Words>
  <Characters>2135</Characters>
  <Lines>17</Lines>
  <Paragraphs>5</Paragraphs>
  <TotalTime>12</TotalTime>
  <ScaleCrop>false</ScaleCrop>
  <LinksUpToDate>false</LinksUpToDate>
  <CharactersWithSpaces>2504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2017-07-10T19:33:00Z</dcterms:created>
  <dc:creator>柳新凯</dc:creator>
  <cp:lastModifiedBy>杨柱</cp:lastModifiedBy>
  <cp:lastPrinted>2025-09-27T00:09:00Z</cp:lastPrinted>
  <dcterms:modified xsi:type="dcterms:W3CDTF">2025-09-30T17:06:47Z</dcterms:modified>
  <dc:title>关于五月份全省街道社区劳动保障工作平台建设进展情况的通报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6C91181A3BA23345F8479968307E2222_42</vt:lpwstr>
  </property>
</Properties>
</file>