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C2E96">
      <w:pPr>
        <w:spacing w:line="592" w:lineRule="exact"/>
        <w:jc w:val="center"/>
        <w:rPr>
          <w:rFonts w:eastAsia="方正小标宋GBK"/>
          <w:b/>
          <w:bCs/>
          <w:sz w:val="44"/>
          <w:szCs w:val="44"/>
        </w:rPr>
      </w:pPr>
      <w:bookmarkStart w:id="63" w:name="_GoBack"/>
      <w:bookmarkEnd w:id="63"/>
    </w:p>
    <w:p w14:paraId="7A84162B">
      <w:pPr>
        <w:pStyle w:val="10"/>
      </w:pPr>
    </w:p>
    <w:p w14:paraId="38535C1E">
      <w:pPr>
        <w:pStyle w:val="10"/>
      </w:pPr>
    </w:p>
    <w:p w14:paraId="7101C556">
      <w:pPr>
        <w:pStyle w:val="10"/>
      </w:pPr>
    </w:p>
    <w:p w14:paraId="6BFC574C">
      <w:pPr>
        <w:pStyle w:val="10"/>
      </w:pPr>
    </w:p>
    <w:p w14:paraId="4AADDD8B">
      <w:pPr>
        <w:pStyle w:val="10"/>
      </w:pPr>
    </w:p>
    <w:p w14:paraId="58A4669A">
      <w:pPr>
        <w:pStyle w:val="10"/>
      </w:pPr>
    </w:p>
    <w:p w14:paraId="36010587">
      <w:pPr>
        <w:pStyle w:val="10"/>
      </w:pPr>
    </w:p>
    <w:p w14:paraId="603DCEE1">
      <w:pPr>
        <w:pStyle w:val="10"/>
      </w:pPr>
    </w:p>
    <w:p w14:paraId="3E36687A">
      <w:pPr>
        <w:pStyle w:val="10"/>
      </w:pPr>
    </w:p>
    <w:p w14:paraId="4852E8E3">
      <w:pPr>
        <w:pStyle w:val="10"/>
      </w:pPr>
    </w:p>
    <w:p w14:paraId="2FBD1AC4">
      <w:pPr>
        <w:pStyle w:val="10"/>
      </w:pPr>
    </w:p>
    <w:p w14:paraId="04B8A3EE">
      <w:pPr>
        <w:pStyle w:val="10"/>
      </w:pPr>
    </w:p>
    <w:p w14:paraId="3A7582F4">
      <w:pPr>
        <w:pStyle w:val="10"/>
      </w:pPr>
    </w:p>
    <w:p w14:paraId="492DABE6">
      <w:pPr>
        <w:pStyle w:val="10"/>
      </w:pPr>
    </w:p>
    <w:p w14:paraId="7828678D">
      <w:pPr>
        <w:pStyle w:val="10"/>
      </w:pPr>
    </w:p>
    <w:p w14:paraId="411973A0">
      <w:pPr>
        <w:pStyle w:val="10"/>
      </w:pPr>
    </w:p>
    <w:p w14:paraId="01574CF0">
      <w:pPr>
        <w:jc w:val="center"/>
        <w:rPr>
          <w:rFonts w:eastAsia="方正小标宋_GBK"/>
          <w:sz w:val="48"/>
          <w:szCs w:val="48"/>
        </w:rPr>
      </w:pPr>
      <w:r>
        <w:rPr>
          <w:rFonts w:eastAsia="方正小标宋_GBK"/>
          <w:sz w:val="48"/>
          <w:szCs w:val="48"/>
        </w:rPr>
        <w:t>202</w:t>
      </w:r>
      <w:r>
        <w:rPr>
          <w:rFonts w:hint="eastAsia" w:eastAsia="方正小标宋_GBK"/>
          <w:sz w:val="48"/>
          <w:szCs w:val="48"/>
          <w:lang w:val="en-US" w:eastAsia="zh-CN"/>
        </w:rPr>
        <w:t>5</w:t>
      </w:r>
      <w:r>
        <w:rPr>
          <w:rFonts w:eastAsia="方正小标宋_GBK"/>
          <w:sz w:val="48"/>
          <w:szCs w:val="48"/>
        </w:rPr>
        <w:t>年度湖南省人力资源和社会保障厅</w:t>
      </w:r>
    </w:p>
    <w:p w14:paraId="79756C30">
      <w:pPr>
        <w:jc w:val="center"/>
        <w:rPr>
          <w:rFonts w:eastAsia="方正小标宋_GBK"/>
          <w:sz w:val="48"/>
          <w:szCs w:val="48"/>
        </w:rPr>
      </w:pPr>
      <w:r>
        <w:rPr>
          <w:rFonts w:eastAsia="方正小标宋_GBK"/>
          <w:sz w:val="48"/>
          <w:szCs w:val="48"/>
        </w:rPr>
        <w:t>部门整体支出绩效自评报告</w:t>
      </w:r>
    </w:p>
    <w:p w14:paraId="6C5C2594"/>
    <w:p w14:paraId="20CF2085">
      <w:pPr>
        <w:pStyle w:val="10"/>
      </w:pPr>
    </w:p>
    <w:p w14:paraId="683970D4">
      <w:pPr>
        <w:pStyle w:val="10"/>
      </w:pPr>
    </w:p>
    <w:p w14:paraId="3AC2EA87">
      <w:pPr>
        <w:pStyle w:val="10"/>
      </w:pPr>
    </w:p>
    <w:p w14:paraId="40A5A9EF">
      <w:pPr>
        <w:pStyle w:val="10"/>
      </w:pPr>
    </w:p>
    <w:p w14:paraId="3A0C5436">
      <w:pPr>
        <w:pStyle w:val="10"/>
      </w:pPr>
    </w:p>
    <w:p w14:paraId="55ADBAB7">
      <w:pPr>
        <w:pStyle w:val="10"/>
      </w:pPr>
    </w:p>
    <w:p w14:paraId="205696E2">
      <w:pPr>
        <w:pStyle w:val="10"/>
      </w:pPr>
    </w:p>
    <w:p w14:paraId="03FBF464">
      <w:pPr>
        <w:pStyle w:val="10"/>
      </w:pPr>
    </w:p>
    <w:p w14:paraId="4241377F">
      <w:pPr>
        <w:pStyle w:val="10"/>
      </w:pPr>
    </w:p>
    <w:p w14:paraId="1BBE3C27">
      <w:pPr>
        <w:pStyle w:val="10"/>
      </w:pPr>
    </w:p>
    <w:p w14:paraId="7C49EF2E">
      <w:pPr>
        <w:pStyle w:val="10"/>
      </w:pPr>
    </w:p>
    <w:p w14:paraId="2DEA1EBA">
      <w:pPr>
        <w:pStyle w:val="10"/>
      </w:pPr>
    </w:p>
    <w:p w14:paraId="52189BD6">
      <w:pPr>
        <w:pStyle w:val="10"/>
      </w:pPr>
    </w:p>
    <w:p w14:paraId="53A15B56">
      <w:pPr>
        <w:pStyle w:val="10"/>
      </w:pPr>
    </w:p>
    <w:p w14:paraId="7D7E9501">
      <w:pPr>
        <w:pStyle w:val="10"/>
      </w:pPr>
    </w:p>
    <w:p w14:paraId="04EE5D31">
      <w:pPr>
        <w:pStyle w:val="10"/>
      </w:pPr>
    </w:p>
    <w:p w14:paraId="1D1D6B5B">
      <w:pPr>
        <w:pStyle w:val="10"/>
      </w:pPr>
    </w:p>
    <w:p w14:paraId="1F8A7272">
      <w:pPr>
        <w:pStyle w:val="10"/>
      </w:pPr>
    </w:p>
    <w:p w14:paraId="14B5E255">
      <w:pPr>
        <w:pStyle w:val="10"/>
      </w:pPr>
    </w:p>
    <w:p w14:paraId="70672F32">
      <w:pPr>
        <w:pStyle w:val="10"/>
      </w:pPr>
    </w:p>
    <w:p w14:paraId="1DB8FC10">
      <w:pPr>
        <w:pStyle w:val="10"/>
      </w:pPr>
    </w:p>
    <w:p w14:paraId="77916BE1">
      <w:pPr>
        <w:pStyle w:val="10"/>
      </w:pPr>
    </w:p>
    <w:p w14:paraId="059121C8">
      <w:pPr>
        <w:pStyle w:val="10"/>
      </w:pPr>
    </w:p>
    <w:p w14:paraId="4AAE5729">
      <w:pPr>
        <w:pStyle w:val="10"/>
      </w:pPr>
    </w:p>
    <w:p w14:paraId="748DFA71">
      <w:pPr>
        <w:pStyle w:val="10"/>
      </w:pPr>
    </w:p>
    <w:p w14:paraId="6BAD8516">
      <w:pPr>
        <w:pStyle w:val="10"/>
      </w:pPr>
    </w:p>
    <w:p w14:paraId="403CD0FC">
      <w:pPr>
        <w:pStyle w:val="10"/>
      </w:pPr>
    </w:p>
    <w:p w14:paraId="43303B5B">
      <w:pPr>
        <w:pStyle w:val="10"/>
      </w:pPr>
    </w:p>
    <w:p w14:paraId="295BBB53">
      <w:pPr>
        <w:pStyle w:val="10"/>
      </w:pPr>
    </w:p>
    <w:p w14:paraId="76AD93ED">
      <w:pPr>
        <w:spacing w:line="592" w:lineRule="exact"/>
        <w:jc w:val="center"/>
        <w:rPr>
          <w:rFonts w:eastAsia="楷体_GB2312"/>
          <w:sz w:val="32"/>
          <w:szCs w:val="32"/>
        </w:rPr>
      </w:pPr>
      <w:r>
        <w:rPr>
          <w:rFonts w:eastAsia="楷体_GB2312"/>
          <w:sz w:val="32"/>
          <w:szCs w:val="32"/>
        </w:rPr>
        <w:t>湖南省人力资源和社会保障厅</w:t>
      </w:r>
    </w:p>
    <w:p w14:paraId="206261CD">
      <w:pPr>
        <w:spacing w:line="592" w:lineRule="exact"/>
        <w:jc w:val="center"/>
        <w:rPr>
          <w:rFonts w:eastAsia="楷体_GB2312"/>
          <w:sz w:val="32"/>
          <w:szCs w:val="32"/>
        </w:rPr>
      </w:pPr>
      <w:r>
        <w:rPr>
          <w:rFonts w:eastAsia="楷体_GB2312"/>
          <w:sz w:val="32"/>
          <w:szCs w:val="32"/>
        </w:rPr>
        <w:t>二〇二</w:t>
      </w:r>
      <w:r>
        <w:rPr>
          <w:rFonts w:hint="eastAsia" w:eastAsia="楷体_GB2312"/>
          <w:sz w:val="32"/>
          <w:szCs w:val="32"/>
          <w:lang w:val="en-US" w:eastAsia="zh-CN"/>
        </w:rPr>
        <w:t>六</w:t>
      </w:r>
      <w:r>
        <w:rPr>
          <w:rFonts w:eastAsia="楷体_GB2312"/>
          <w:sz w:val="32"/>
          <w:szCs w:val="32"/>
        </w:rPr>
        <w:t>年</w:t>
      </w:r>
      <w:r>
        <w:rPr>
          <w:rFonts w:hint="eastAsia" w:eastAsia="楷体_GB2312"/>
          <w:sz w:val="32"/>
          <w:szCs w:val="32"/>
          <w:lang w:val="en-US" w:eastAsia="zh-CN"/>
        </w:rPr>
        <w:t>五</w:t>
      </w:r>
      <w:r>
        <w:rPr>
          <w:rFonts w:eastAsia="楷体_GB2312"/>
          <w:sz w:val="32"/>
          <w:szCs w:val="32"/>
        </w:rPr>
        <w:t>月</w:t>
      </w:r>
    </w:p>
    <w:sdt>
      <w:sdtPr>
        <w:rPr>
          <w:rFonts w:ascii="Times New Roman" w:hAnsi="Times New Roman" w:eastAsia="宋体" w:cs="Times New Roman"/>
          <w:color w:val="auto"/>
          <w:kern w:val="2"/>
          <w:sz w:val="21"/>
          <w:szCs w:val="22"/>
          <w:lang w:val="zh-CN"/>
        </w:rPr>
        <w:id w:val="147471719"/>
        <w:docPartObj>
          <w:docPartGallery w:val="Table of Contents"/>
          <w:docPartUnique/>
        </w:docPartObj>
      </w:sdtPr>
      <w:sdtEndPr>
        <w:rPr>
          <w:rFonts w:ascii="Times New Roman" w:hAnsi="Times New Roman" w:eastAsia="仿宋_GB2312" w:cs="Times New Roman"/>
          <w:b/>
          <w:bCs/>
          <w:color w:val="auto"/>
          <w:kern w:val="2"/>
          <w:sz w:val="30"/>
          <w:szCs w:val="30"/>
          <w:lang w:val="zh-CN"/>
        </w:rPr>
      </w:sdtEndPr>
      <w:sdtContent>
        <w:p w14:paraId="1F5B18EC">
          <w:pPr>
            <w:pStyle w:val="29"/>
            <w:jc w:val="center"/>
            <w:rPr>
              <w:rFonts w:hint="eastAsia" w:ascii="黑体" w:hAnsi="黑体" w:eastAsia="黑体" w:cs="黑体"/>
              <w:color w:val="000000"/>
              <w:kern w:val="2"/>
              <w:sz w:val="40"/>
              <w:szCs w:val="40"/>
            </w:rPr>
          </w:pPr>
          <w:r>
            <w:rPr>
              <w:rFonts w:hint="eastAsia" w:ascii="黑体" w:hAnsi="黑体" w:eastAsia="黑体" w:cs="黑体"/>
              <w:color w:val="000000"/>
              <w:kern w:val="2"/>
              <w:sz w:val="40"/>
              <w:szCs w:val="40"/>
            </w:rPr>
            <w:t>目  录</w:t>
          </w:r>
        </w:p>
        <w:p w14:paraId="6706DAE3"/>
        <w:p w14:paraId="3E648985">
          <w:pPr>
            <w:pStyle w:val="12"/>
            <w:rPr>
              <w:rFonts w:hint="eastAsia" w:asciiTheme="minorHAnsi" w:hAnsiTheme="minorHAnsi" w:eastAsiaTheme="minorEastAsia" w:cstheme="minorBidi"/>
              <w:b w:val="0"/>
              <w:bCs w:val="0"/>
              <w:kern w:val="2"/>
              <w:sz w:val="22"/>
              <w:szCs w:val="24"/>
              <w14:ligatures w14:val="standardContextual"/>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"_Toc195797055" </w:instrText>
          </w:r>
          <w:r>
            <w:fldChar w:fldCharType="separate"/>
          </w:r>
          <w:r>
            <w:rPr>
              <w:rStyle w:val="20"/>
              <w:rFonts w:hint="eastAsia" w:eastAsia="黑体"/>
            </w:rPr>
            <w:t>一、 部门（单位）基本情况</w:t>
          </w:r>
          <w:r>
            <w:rPr>
              <w:rFonts w:hint="eastAsia"/>
            </w:rPr>
            <w:tab/>
          </w:r>
          <w:r>
            <w:rPr>
              <w:rFonts w:hint="eastAsia"/>
            </w:rPr>
            <w:fldChar w:fldCharType="begin"/>
          </w:r>
          <w:r>
            <w:rPr>
              <w:rFonts w:hint="eastAsia"/>
            </w:rPr>
            <w:instrText xml:space="preserve"> </w:instrText>
          </w:r>
          <w:r>
            <w:instrText xml:space="preserve">PAGEREF _Toc195797055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31FC83A4">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"_Toc195797056" </w:instrText>
          </w:r>
          <w:r>
            <w:fldChar w:fldCharType="separate"/>
          </w:r>
          <w:r>
            <w:rPr>
              <w:rStyle w:val="20"/>
              <w:rFonts w:hint="eastAsia" w:eastAsia="楷体_GB2312"/>
              <w:snapToGrid w:val="0"/>
              <w:kern w:val="0"/>
            </w:rPr>
            <w:t>（一）主要职能</w:t>
          </w:r>
          <w:r>
            <w:rPr>
              <w:rFonts w:hint="eastAsia"/>
            </w:rPr>
            <w:tab/>
          </w:r>
          <w:r>
            <w:rPr>
              <w:rFonts w:hint="eastAsia"/>
            </w:rPr>
            <w:fldChar w:fldCharType="begin"/>
          </w:r>
          <w:r>
            <w:rPr>
              <w:rFonts w:hint="eastAsia"/>
            </w:rPr>
            <w:instrText xml:space="preserve"> </w:instrText>
          </w:r>
          <w:r>
            <w:instrText xml:space="preserve">PAGEREF _Toc195797056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F52F9A1">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"_Toc195797057" </w:instrText>
          </w:r>
          <w:r>
            <w:fldChar w:fldCharType="separate"/>
          </w:r>
          <w:r>
            <w:rPr>
              <w:rStyle w:val="20"/>
              <w:rFonts w:hint="eastAsia" w:eastAsia="楷体_GB2312"/>
              <w:snapToGrid w:val="0"/>
              <w:kern w:val="0"/>
            </w:rPr>
            <w:t>（二）机构情况</w:t>
          </w:r>
          <w:r>
            <w:rPr>
              <w:rFonts w:hint="eastAsia"/>
            </w:rPr>
            <w:tab/>
          </w:r>
          <w:r>
            <w:rPr>
              <w:rFonts w:hint="eastAsia"/>
            </w:rPr>
            <w:fldChar w:fldCharType="begin"/>
          </w:r>
          <w:r>
            <w:rPr>
              <w:rFonts w:hint="eastAsia"/>
            </w:rPr>
            <w:instrText xml:space="preserve"> </w:instrText>
          </w:r>
          <w:r>
            <w:instrText xml:space="preserve">PAGEREF _Toc195797057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6D3F612A">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"_Toc195797058" </w:instrText>
          </w:r>
          <w:r>
            <w:fldChar w:fldCharType="separate"/>
          </w:r>
          <w:r>
            <w:rPr>
              <w:rStyle w:val="20"/>
              <w:rFonts w:hint="eastAsia" w:eastAsia="楷体_GB2312"/>
              <w:snapToGrid w:val="0"/>
              <w:kern w:val="0"/>
            </w:rPr>
            <w:t>（三）人员情况</w:t>
          </w:r>
          <w:r>
            <w:rPr>
              <w:rFonts w:hint="eastAsia"/>
            </w:rPr>
            <w:tab/>
          </w:r>
          <w:r>
            <w:rPr>
              <w:rFonts w:hint="eastAsia"/>
              <w:lang w:val="en-US" w:eastAsia="zh-CN"/>
            </w:rPr>
            <w:t>4</w:t>
          </w:r>
          <w:r>
            <w:rPr>
              <w:rFonts w:hint="eastAsia"/>
            </w:rPr>
            <w:fldChar w:fldCharType="end"/>
          </w:r>
        </w:p>
        <w:p w14:paraId="337F73A2">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"_Toc195797059" </w:instrText>
          </w:r>
          <w:r>
            <w:fldChar w:fldCharType="separate"/>
          </w:r>
          <w:r>
            <w:rPr>
              <w:rStyle w:val="20"/>
              <w:rFonts w:hint="eastAsia" w:eastAsia="黑体"/>
            </w:rPr>
            <w:t>二、 绩效评价组织情况</w:t>
          </w:r>
          <w:r>
            <w:rPr>
              <w:rFonts w:hint="eastAsia"/>
            </w:rPr>
            <w:tab/>
          </w:r>
          <w:r>
            <w:rPr>
              <w:rFonts w:hint="eastAsia"/>
            </w:rPr>
            <w:fldChar w:fldCharType="begin"/>
          </w:r>
          <w:r>
            <w:rPr>
              <w:rFonts w:hint="eastAsia"/>
            </w:rPr>
            <w:instrText xml:space="preserve"> </w:instrText>
          </w:r>
          <w:r>
            <w:instrText xml:space="preserve">PAGEREF _Toc195797059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3B83CC91">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"_Toc195797060" </w:instrText>
          </w:r>
          <w:r>
            <w:fldChar w:fldCharType="separate"/>
          </w:r>
          <w:r>
            <w:rPr>
              <w:rStyle w:val="20"/>
              <w:rFonts w:hint="eastAsia" w:eastAsia="楷体_GB2312"/>
              <w:snapToGrid w:val="0"/>
              <w:kern w:val="0"/>
            </w:rPr>
            <w:t>（一）加强组织领导，完善评价指标</w:t>
          </w:r>
          <w:r>
            <w:rPr>
              <w:rFonts w:hint="eastAsia"/>
            </w:rPr>
            <w:tab/>
          </w:r>
          <w:r>
            <w:rPr>
              <w:rFonts w:hint="eastAsia"/>
            </w:rPr>
            <w:fldChar w:fldCharType="begin"/>
          </w:r>
          <w:r>
            <w:rPr>
              <w:rFonts w:hint="eastAsia"/>
            </w:rPr>
            <w:instrText xml:space="preserve"> </w:instrText>
          </w:r>
          <w:r>
            <w:instrText xml:space="preserve">PAGEREF _Toc195797060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A4BB1CA">
          <w:pPr>
            <w:pStyle w:val="14"/>
            <w:rPr>
              <w:rFonts w:hint="eastAsia"/>
            </w:rPr>
          </w:pPr>
          <w:r>
            <w:fldChar w:fldCharType="begin"/>
          </w:r>
          <w:r>
            <w:instrText xml:space="preserve"> HYPERLINK \l "_Toc195797061" </w:instrText>
          </w:r>
          <w:r>
            <w:fldChar w:fldCharType="separate"/>
          </w:r>
          <w:r>
            <w:rPr>
              <w:rStyle w:val="20"/>
              <w:rFonts w:hint="eastAsia" w:eastAsia="楷体_GB2312"/>
              <w:snapToGrid w:val="0"/>
              <w:kern w:val="0"/>
            </w:rPr>
            <w:t>（二）布置单位自评，确保按时完成</w:t>
          </w:r>
          <w:r>
            <w:rPr>
              <w:rFonts w:hint="eastAsia"/>
            </w:rPr>
            <w:tab/>
          </w:r>
          <w:r>
            <w:rPr>
              <w:rFonts w:hint="eastAsia"/>
            </w:rPr>
            <w:fldChar w:fldCharType="begin"/>
          </w:r>
          <w:r>
            <w:rPr>
              <w:rFonts w:hint="eastAsia"/>
            </w:rPr>
            <w:instrText xml:space="preserve"> </w:instrText>
          </w:r>
          <w:r>
            <w:instrText xml:space="preserve">PAGEREF _Toc195797061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A3800F7">
          <w:pPr>
            <w:pStyle w:val="14"/>
            <w:rPr>
              <w:rFonts w:hint="eastAsia" w:eastAsia="仿宋_GB2312"/>
              <w:lang w:eastAsia="zh-CN"/>
            </w:rPr>
          </w:pPr>
          <w:r>
            <w:rPr>
              <w:rStyle w:val="20"/>
              <w:rFonts w:hint="eastAsia" w:ascii="Times New Roman" w:eastAsia="楷体_GB2312"/>
              <w:snapToGrid w:val="0"/>
              <w:kern w:val="0"/>
            </w:rPr>
            <w:t>（</w:t>
          </w:r>
          <w:r>
            <w:rPr>
              <w:rStyle w:val="20"/>
              <w:rFonts w:hint="eastAsia" w:ascii="Times New Roman" w:eastAsia="楷体_GB2312"/>
              <w:snapToGrid w:val="0"/>
              <w:kern w:val="0"/>
              <w:lang w:val="en-US" w:eastAsia="zh-CN"/>
            </w:rPr>
            <w:t>三</w:t>
          </w:r>
          <w:r>
            <w:rPr>
              <w:rStyle w:val="20"/>
              <w:rFonts w:hint="eastAsia" w:ascii="Times New Roman" w:eastAsia="楷体_GB2312"/>
              <w:snapToGrid w:val="0"/>
              <w:kern w:val="0"/>
            </w:rPr>
            <w:t>）形成评价结论</w:t>
          </w:r>
          <w:r>
            <w:rPr>
              <w:rStyle w:val="20"/>
              <w:rFonts w:hint="eastAsia" w:ascii="Times New Roman" w:eastAsia="楷体_GB2312"/>
              <w:snapToGrid w:val="0"/>
              <w:kern w:val="0"/>
              <w:lang w:eastAsia="zh-CN"/>
            </w:rPr>
            <w:t>，</w:t>
          </w:r>
          <w:r>
            <w:rPr>
              <w:rStyle w:val="20"/>
              <w:rFonts w:hint="eastAsia" w:ascii="Times New Roman" w:eastAsia="楷体_GB2312"/>
              <w:snapToGrid w:val="0"/>
              <w:kern w:val="0"/>
              <w:lang w:val="en-US"/>
            </w:rPr>
            <w:t>资料整理归档</w:t>
          </w:r>
          <w:r>
            <w:rPr>
              <w:rFonts w:hint="eastAsia"/>
            </w:rPr>
            <w:tab/>
          </w:r>
          <w:r>
            <w:rPr>
              <w:rFonts w:hint="eastAsia"/>
              <w:lang w:val="en-US" w:eastAsia="zh-CN"/>
            </w:rPr>
            <w:t>6</w:t>
          </w:r>
        </w:p>
        <w:p w14:paraId="54F0676D">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"_Toc195797062" </w:instrText>
          </w:r>
          <w:r>
            <w:fldChar w:fldCharType="separate"/>
          </w:r>
          <w:r>
            <w:rPr>
              <w:rStyle w:val="20"/>
              <w:rFonts w:hint="eastAsia" w:eastAsia="黑体"/>
            </w:rPr>
            <w:t>三、 一般公共预算支出情况</w:t>
          </w:r>
          <w:r>
            <w:rPr>
              <w:rFonts w:hint="eastAsia"/>
            </w:rPr>
            <w:tab/>
          </w:r>
          <w:r>
            <w:rPr>
              <w:rFonts w:hint="eastAsia"/>
              <w:lang w:val="en-US" w:eastAsia="zh-CN"/>
            </w:rPr>
            <w:t>6</w:t>
          </w:r>
          <w:r>
            <w:rPr>
              <w:rFonts w:hint="eastAsia"/>
            </w:rPr>
            <w:fldChar w:fldCharType="end"/>
          </w:r>
        </w:p>
        <w:p w14:paraId="25BCA0A8">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"_Toc195797063" </w:instrText>
          </w:r>
          <w:r>
            <w:fldChar w:fldCharType="separate"/>
          </w:r>
          <w:r>
            <w:rPr>
              <w:rStyle w:val="20"/>
              <w:rFonts w:hint="eastAsia" w:eastAsia="楷体_GB2312"/>
              <w:snapToGrid w:val="0"/>
              <w:kern w:val="0"/>
            </w:rPr>
            <w:t>（一）基本支出情况</w:t>
          </w:r>
          <w:r>
            <w:rPr>
              <w:rFonts w:hint="eastAsia"/>
            </w:rPr>
            <w:tab/>
          </w:r>
          <w:r>
            <w:rPr>
              <w:rFonts w:hint="eastAsia"/>
            </w:rPr>
            <w:fldChar w:fldCharType="begin"/>
          </w:r>
          <w:r>
            <w:rPr>
              <w:rFonts w:hint="eastAsia"/>
            </w:rPr>
            <w:instrText xml:space="preserve"> </w:instrText>
          </w:r>
          <w:r>
            <w:instrText xml:space="preserve">PAGEREF _Toc195797063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506C21A0">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"_Toc195797064" </w:instrText>
          </w:r>
          <w:r>
            <w:fldChar w:fldCharType="separate"/>
          </w:r>
          <w:r>
            <w:rPr>
              <w:rStyle w:val="20"/>
              <w:rFonts w:hint="eastAsia" w:eastAsia="楷体_GB2312"/>
              <w:snapToGrid w:val="0"/>
              <w:kern w:val="0"/>
            </w:rPr>
            <w:t>（二）项目支出情况</w:t>
          </w:r>
          <w:r>
            <w:rPr>
              <w:rFonts w:hint="eastAsia"/>
            </w:rPr>
            <w:tab/>
          </w:r>
          <w:r>
            <w:rPr>
              <w:rFonts w:hint="eastAsia"/>
              <w:lang w:val="en-US" w:eastAsia="zh-CN"/>
            </w:rPr>
            <w:t>7</w:t>
          </w:r>
          <w:r>
            <w:rPr>
              <w:rFonts w:hint="eastAsia"/>
            </w:rPr>
            <w:fldChar w:fldCharType="end"/>
          </w:r>
        </w:p>
        <w:p w14:paraId="5F52D3BC">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"_Toc195797065" </w:instrText>
          </w:r>
          <w:r>
            <w:fldChar w:fldCharType="separate"/>
          </w:r>
          <w:r>
            <w:rPr>
              <w:rStyle w:val="20"/>
              <w:rFonts w:hint="eastAsia" w:eastAsia="楷体_GB2312"/>
              <w:snapToGrid w:val="0"/>
              <w:kern w:val="0"/>
            </w:rPr>
            <w:t>（三）机关运转情况</w:t>
          </w:r>
          <w:r>
            <w:rPr>
              <w:rFonts w:hint="eastAsia"/>
            </w:rPr>
            <w:tab/>
          </w:r>
          <w:r>
            <w:rPr>
              <w:rFonts w:hint="eastAsia"/>
            </w:rPr>
            <w:fldChar w:fldCharType="begin"/>
          </w:r>
          <w:r>
            <w:rPr>
              <w:rFonts w:hint="eastAsia"/>
            </w:rPr>
            <w:instrText xml:space="preserve"> </w:instrText>
          </w:r>
          <w:r>
            <w:instrText xml:space="preserve">PAGEREF _Toc195797065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0791C09F">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"_Toc195797066" </w:instrText>
          </w:r>
          <w:r>
            <w:fldChar w:fldCharType="separate"/>
          </w:r>
          <w:r>
            <w:rPr>
              <w:rStyle w:val="20"/>
              <w:rFonts w:hint="eastAsia" w:eastAsia="楷体_GB2312"/>
              <w:snapToGrid w:val="0"/>
              <w:kern w:val="0"/>
            </w:rPr>
            <w:t>（四）“三公经费”支出情况</w:t>
          </w:r>
          <w:r>
            <w:rPr>
              <w:rFonts w:hint="eastAsia"/>
            </w:rPr>
            <w:tab/>
          </w:r>
          <w:r>
            <w:rPr>
              <w:rFonts w:hint="eastAsia"/>
            </w:rPr>
            <w:fldChar w:fldCharType="begin"/>
          </w:r>
          <w:r>
            <w:rPr>
              <w:rFonts w:hint="eastAsia"/>
            </w:rPr>
            <w:instrText xml:space="preserve"> </w:instrText>
          </w:r>
          <w:r>
            <w:instrText xml:space="preserve">PAGEREF _Toc195797066 \h</w:instrText>
          </w:r>
          <w:r>
            <w:rPr>
              <w:rFonts w:hint="eastAsia"/>
            </w:rPr>
            <w:instrText xml:space="preserve"> </w:instrText>
          </w:r>
          <w:r>
            <w:rPr>
              <w:rFonts w:hint="eastAsia"/>
            </w:rPr>
            <w:fldChar w:fldCharType="separate"/>
          </w:r>
          <w:r>
            <w:t>1</w:t>
          </w:r>
          <w:r>
            <w:rPr>
              <w:rFonts w:hint="eastAsia"/>
              <w:lang w:val="en-US" w:eastAsia="zh-CN"/>
            </w:rPr>
            <w:t>1</w:t>
          </w:r>
          <w:r>
            <w:rPr>
              <w:rFonts w:hint="eastAsia"/>
            </w:rPr>
            <w:fldChar w:fldCharType="end"/>
          </w:r>
          <w:r>
            <w:rPr>
              <w:rFonts w:hint="eastAsia"/>
            </w:rPr>
            <w:fldChar w:fldCharType="end"/>
          </w:r>
        </w:p>
        <w:p w14:paraId="7D9747C2">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"_Toc195797067" </w:instrText>
          </w:r>
          <w:r>
            <w:fldChar w:fldCharType="separate"/>
          </w:r>
          <w:r>
            <w:rPr>
              <w:rStyle w:val="20"/>
              <w:rFonts w:hint="eastAsia" w:eastAsia="黑体"/>
            </w:rPr>
            <w:t>四、 政府基金预算支出情况</w:t>
          </w:r>
          <w:r>
            <w:rPr>
              <w:rFonts w:hint="eastAsia"/>
            </w:rPr>
            <w:tab/>
          </w:r>
          <w:r>
            <w:rPr>
              <w:rFonts w:hint="eastAsia"/>
            </w:rPr>
            <w:fldChar w:fldCharType="begin"/>
          </w:r>
          <w:r>
            <w:rPr>
              <w:rFonts w:hint="eastAsia"/>
            </w:rPr>
            <w:instrText xml:space="preserve"> </w:instrText>
          </w:r>
          <w:r>
            <w:instrText xml:space="preserve">PAGEREF _Toc195797067 \h</w:instrText>
          </w:r>
          <w:r>
            <w:rPr>
              <w:rFonts w:hint="eastAsia"/>
            </w:rPr>
            <w:instrText xml:space="preserve"> </w:instrText>
          </w:r>
          <w:r>
            <w:rPr>
              <w:rFonts w:hint="eastAsia"/>
            </w:rPr>
            <w:fldChar w:fldCharType="separate"/>
          </w:r>
          <w:r>
            <w:rPr>
              <w:rFonts w:hint="eastAsia"/>
            </w:rPr>
            <w:t>1</w:t>
          </w:r>
          <w:r>
            <w:rPr>
              <w:rFonts w:hint="eastAsia"/>
              <w:lang w:val="en-US" w:eastAsia="zh-CN"/>
            </w:rPr>
            <w:t>1</w:t>
          </w:r>
          <w:r>
            <w:rPr>
              <w:rFonts w:hint="eastAsia"/>
            </w:rPr>
            <w:fldChar w:fldCharType="end"/>
          </w:r>
          <w:r>
            <w:rPr>
              <w:rFonts w:hint="eastAsia"/>
            </w:rPr>
            <w:fldChar w:fldCharType="end"/>
          </w:r>
        </w:p>
        <w:p w14:paraId="2BB999B7">
          <w:pPr>
            <w:pStyle w:val="12"/>
            <w:rPr>
              <w:rFonts w:hint="eastAsia" w:asciiTheme="minorHAnsi" w:hAnsiTheme="minorHAnsi" w:eastAsiaTheme="minorEastAsia" w:cstheme="minorBidi"/>
              <w:sz w:val="22"/>
              <w:szCs w:val="24"/>
              <w14:ligatures w14:val="standardContextual"/>
            </w:rPr>
          </w:pPr>
          <w:r>
            <w:fldChar w:fldCharType="begin"/>
          </w:r>
          <w:r>
            <w:instrText xml:space="preserve"> HYPERLINK \l "_Toc195797068" </w:instrText>
          </w:r>
          <w:r>
            <w:fldChar w:fldCharType="separate"/>
          </w:r>
          <w:r>
            <w:rPr>
              <w:rStyle w:val="20"/>
              <w:rFonts w:hint="eastAsia" w:eastAsia="黑体"/>
            </w:rPr>
            <w:t>五、 国有资本经营预算支出情况</w:t>
          </w:r>
          <w:r>
            <w:rPr>
              <w:rFonts w:hint="eastAsia"/>
            </w:rPr>
            <w:tab/>
          </w:r>
          <w:r>
            <w:rPr>
              <w:rFonts w:hint="eastAsia"/>
            </w:rPr>
            <w:fldChar w:fldCharType="begin"/>
          </w:r>
          <w:r>
            <w:rPr>
              <w:rFonts w:hint="eastAsia"/>
            </w:rPr>
            <w:instrText xml:space="preserve"> </w:instrText>
          </w:r>
          <w:r>
            <w:instrText xml:space="preserve">PAGEREF _Toc195797068 \h</w:instrText>
          </w:r>
          <w:r>
            <w:rPr>
              <w:rFonts w:hint="eastAsia"/>
            </w:rPr>
            <w:instrText xml:space="preserve"> </w:instrText>
          </w:r>
          <w:r>
            <w:rPr>
              <w:rFonts w:hint="eastAsia"/>
            </w:rPr>
            <w:fldChar w:fldCharType="separate"/>
          </w:r>
          <w:r>
            <w:rPr>
              <w:rFonts w:hint="eastAsia"/>
            </w:rPr>
            <w:t>1</w:t>
          </w:r>
          <w:r>
            <w:rPr>
              <w:rFonts w:hint="eastAsia"/>
              <w:lang w:val="en-US" w:eastAsia="zh-CN"/>
            </w:rPr>
            <w:t>1</w:t>
          </w:r>
          <w:r>
            <w:rPr>
              <w:rFonts w:hint="eastAsia"/>
            </w:rPr>
            <w:fldChar w:fldCharType="end"/>
          </w:r>
          <w:r>
            <w:rPr>
              <w:rFonts w:hint="eastAsia"/>
            </w:rPr>
            <w:fldChar w:fldCharType="end"/>
          </w:r>
        </w:p>
        <w:p w14:paraId="2CE9256E">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"_Toc195797069" </w:instrText>
          </w:r>
          <w:r>
            <w:fldChar w:fldCharType="separate"/>
          </w:r>
          <w:r>
            <w:rPr>
              <w:rStyle w:val="20"/>
              <w:rFonts w:hint="eastAsia" w:eastAsia="黑体"/>
              <w:lang w:val="en-US" w:eastAsia="zh-CN"/>
            </w:rPr>
            <w:t>六</w:t>
          </w:r>
          <w:r>
            <w:rPr>
              <w:rStyle w:val="20"/>
              <w:rFonts w:hint="eastAsia" w:eastAsia="黑体"/>
            </w:rPr>
            <w:t>、 社会保险基金预算支出情况</w:t>
          </w:r>
          <w:r>
            <w:rPr>
              <w:rFonts w:hint="eastAsia"/>
            </w:rPr>
            <w:tab/>
          </w:r>
          <w:r>
            <w:rPr>
              <w:rFonts w:hint="eastAsia"/>
            </w:rPr>
            <w:fldChar w:fldCharType="begin"/>
          </w:r>
          <w:r>
            <w:rPr>
              <w:rFonts w:hint="eastAsia"/>
            </w:rPr>
            <w:instrText xml:space="preserve"> </w:instrText>
          </w:r>
          <w:r>
            <w:instrText xml:space="preserve">PAGEREF _Toc195797069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249D86FB">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"_Toc195797070" </w:instrText>
          </w:r>
          <w:r>
            <w:fldChar w:fldCharType="separate"/>
          </w:r>
          <w:r>
            <w:rPr>
              <w:rStyle w:val="20"/>
              <w:rFonts w:hint="eastAsia" w:eastAsia="楷体_GB2312"/>
              <w:snapToGrid w:val="0"/>
              <w:kern w:val="0"/>
            </w:rPr>
            <w:t>（一）企业职工基本养老保险基金预算支出情况</w:t>
          </w:r>
          <w:r>
            <w:rPr>
              <w:rFonts w:hint="eastAsia"/>
            </w:rPr>
            <w:tab/>
          </w:r>
          <w:r>
            <w:rPr>
              <w:rFonts w:hint="eastAsia"/>
            </w:rPr>
            <w:fldChar w:fldCharType="begin"/>
          </w:r>
          <w:r>
            <w:rPr>
              <w:rFonts w:hint="eastAsia"/>
            </w:rPr>
            <w:instrText xml:space="preserve"> </w:instrText>
          </w:r>
          <w:r>
            <w:instrText xml:space="preserve">PAGEREF _Toc195797070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102CFB56">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"_Toc195797072" </w:instrText>
          </w:r>
          <w:r>
            <w:fldChar w:fldCharType="separate"/>
          </w:r>
          <w:r>
            <w:rPr>
              <w:rStyle w:val="20"/>
              <w:rFonts w:hint="eastAsia" w:eastAsia="楷体_GB2312"/>
              <w:snapToGrid w:val="0"/>
              <w:kern w:val="0"/>
            </w:rPr>
            <w:t>（二）机关事业单位基本养老保险基金预算支出情况</w:t>
          </w:r>
          <w:r>
            <w:rPr>
              <w:rFonts w:hint="eastAsia"/>
            </w:rPr>
            <w:tab/>
          </w:r>
          <w:r>
            <w:rPr>
              <w:rFonts w:hint="eastAsia"/>
            </w:rPr>
            <w:fldChar w:fldCharType="begin"/>
          </w:r>
          <w:r>
            <w:rPr>
              <w:rFonts w:hint="eastAsia"/>
            </w:rPr>
            <w:instrText xml:space="preserve"> </w:instrText>
          </w:r>
          <w:r>
            <w:instrText xml:space="preserve">PAGEREF _Toc195797072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A0E130F">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"_Toc195797073" </w:instrText>
          </w:r>
          <w:r>
            <w:fldChar w:fldCharType="separate"/>
          </w:r>
          <w:r>
            <w:rPr>
              <w:rStyle w:val="20"/>
              <w:rFonts w:hint="eastAsia" w:eastAsia="楷体_GB2312"/>
              <w:snapToGrid w:val="0"/>
              <w:kern w:val="0"/>
            </w:rPr>
            <w:t>（三）城乡居民基本养老保险基金预算支出情况</w:t>
          </w:r>
          <w:r>
            <w:rPr>
              <w:rFonts w:hint="eastAsia"/>
            </w:rPr>
            <w:tab/>
          </w:r>
          <w:r>
            <w:rPr>
              <w:rFonts w:hint="eastAsia"/>
            </w:rPr>
            <w:fldChar w:fldCharType="begin"/>
          </w:r>
          <w:r>
            <w:rPr>
              <w:rFonts w:hint="eastAsia"/>
            </w:rPr>
            <w:instrText xml:space="preserve"> </w:instrText>
          </w:r>
          <w:r>
            <w:instrText xml:space="preserve">PAGEREF _Toc195797073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357DF5CF">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"_Toc195797074" </w:instrText>
          </w:r>
          <w:r>
            <w:fldChar w:fldCharType="separate"/>
          </w:r>
          <w:r>
            <w:rPr>
              <w:rStyle w:val="20"/>
              <w:rFonts w:hint="eastAsia" w:eastAsia="楷体_GB2312"/>
              <w:snapToGrid w:val="0"/>
              <w:kern w:val="0"/>
            </w:rPr>
            <w:t>（四）工伤保险基金预算支出情况</w:t>
          </w:r>
          <w:r>
            <w:rPr>
              <w:rFonts w:hint="eastAsia"/>
            </w:rPr>
            <w:tab/>
          </w:r>
          <w:r>
            <w:rPr>
              <w:rFonts w:hint="eastAsia"/>
            </w:rPr>
            <w:fldChar w:fldCharType="begin"/>
          </w:r>
          <w:r>
            <w:rPr>
              <w:rFonts w:hint="eastAsia"/>
            </w:rPr>
            <w:instrText xml:space="preserve"> </w:instrText>
          </w:r>
          <w:r>
            <w:instrText xml:space="preserve">PAGEREF _Toc195797074 \h</w:instrText>
          </w:r>
          <w:r>
            <w:rPr>
              <w:rFonts w:hint="eastAsia"/>
            </w:rPr>
            <w:instrText xml:space="preserve"> </w:instrText>
          </w:r>
          <w:r>
            <w:rPr>
              <w:rFonts w:hint="eastAsia"/>
            </w:rPr>
            <w:fldChar w:fldCharType="separate"/>
          </w:r>
          <w:r>
            <w:t>1</w:t>
          </w:r>
          <w:r>
            <w:rPr>
              <w:rFonts w:hint="eastAsia"/>
              <w:lang w:val="en-US" w:eastAsia="zh-CN"/>
            </w:rPr>
            <w:t>3</w:t>
          </w:r>
          <w:r>
            <w:rPr>
              <w:rFonts w:hint="eastAsia"/>
            </w:rPr>
            <w:fldChar w:fldCharType="end"/>
          </w:r>
          <w:r>
            <w:rPr>
              <w:rFonts w:hint="eastAsia"/>
            </w:rPr>
            <w:fldChar w:fldCharType="end"/>
          </w:r>
        </w:p>
        <w:p w14:paraId="0B033859">
          <w:pPr>
            <w:pStyle w:val="12"/>
            <w:rPr>
              <w:rFonts w:hint="eastAsia"/>
            </w:rPr>
          </w:pPr>
          <w:r>
            <w:fldChar w:fldCharType="begin"/>
          </w:r>
          <w:r>
            <w:instrText xml:space="preserve"> HYPERLINK \l "_Toc195797076" </w:instrText>
          </w:r>
          <w:r>
            <w:fldChar w:fldCharType="separate"/>
          </w:r>
          <w:r>
            <w:rPr>
              <w:rStyle w:val="20"/>
              <w:rFonts w:hint="eastAsia" w:eastAsia="楷体_GB2312"/>
              <w:b w:val="0"/>
              <w:bCs w:val="0"/>
              <w:snapToGrid w:val="0"/>
              <w:kern w:val="0"/>
            </w:rPr>
            <w:t>（五）失业保险基金预算支出情况</w:t>
          </w:r>
          <w:r>
            <w:rPr>
              <w:rFonts w:hint="eastAsia"/>
            </w:rPr>
            <w:tab/>
          </w:r>
          <w:r>
            <w:rPr>
              <w:rFonts w:hint="eastAsia" w:ascii="仿宋_GB2312" w:hAnsi="Times New Roman" w:eastAsia="仿宋_GB2312" w:cs="Times New Roman"/>
              <w:b w:val="0"/>
              <w:bCs w:val="0"/>
              <w:kern w:val="2"/>
              <w:sz w:val="32"/>
              <w:szCs w:val="32"/>
              <w:lang w:val="en-US" w:eastAsia="zh-CN" w:bidi="ar-SA"/>
            </w:rPr>
            <w:fldChar w:fldCharType="begin"/>
          </w:r>
          <w:r>
            <w:rPr>
              <w:rFonts w:hint="eastAsia" w:ascii="仿宋_GB2312" w:hAnsi="Times New Roman" w:eastAsia="仿宋_GB2312" w:cs="Times New Roman"/>
              <w:b w:val="0"/>
              <w:bCs w:val="0"/>
              <w:kern w:val="2"/>
              <w:sz w:val="32"/>
              <w:szCs w:val="32"/>
              <w:lang w:val="en-US" w:eastAsia="zh-CN" w:bidi="ar-SA"/>
            </w:rPr>
            <w:instrText xml:space="preserve"> PAGEREF _Toc195797076 \h </w:instrText>
          </w:r>
          <w:r>
            <w:rPr>
              <w:rFonts w:hint="eastAsia" w:ascii="仿宋_GB2312" w:hAnsi="Times New Roman" w:eastAsia="仿宋_GB2312" w:cs="Times New Roman"/>
              <w:b w:val="0"/>
              <w:bCs w:val="0"/>
              <w:kern w:val="2"/>
              <w:sz w:val="32"/>
              <w:szCs w:val="32"/>
              <w:lang w:val="en-US" w:eastAsia="zh-CN" w:bidi="ar-SA"/>
            </w:rPr>
            <w:fldChar w:fldCharType="separate"/>
          </w:r>
          <w:r>
            <w:rPr>
              <w:rFonts w:hint="eastAsia" w:ascii="仿宋_GB2312" w:hAnsi="Times New Roman" w:eastAsia="仿宋_GB2312" w:cs="Times New Roman"/>
              <w:b w:val="0"/>
              <w:bCs w:val="0"/>
              <w:kern w:val="2"/>
              <w:sz w:val="32"/>
              <w:szCs w:val="32"/>
              <w:lang w:val="en-US" w:eastAsia="zh-CN" w:bidi="ar-SA"/>
            </w:rPr>
            <w:t>13</w:t>
          </w:r>
          <w:r>
            <w:rPr>
              <w:rFonts w:hint="eastAsia" w:ascii="仿宋_GB2312" w:hAnsi="Times New Roman" w:eastAsia="仿宋_GB2312" w:cs="Times New Roman"/>
              <w:b w:val="0"/>
              <w:bCs w:val="0"/>
              <w:kern w:val="2"/>
              <w:sz w:val="32"/>
              <w:szCs w:val="32"/>
              <w:lang w:val="en-US" w:eastAsia="zh-CN" w:bidi="ar-SA"/>
            </w:rPr>
            <w:fldChar w:fldCharType="end"/>
          </w:r>
          <w:r>
            <w:rPr>
              <w:rFonts w:hint="eastAsia"/>
            </w:rPr>
            <w:fldChar w:fldCharType="end"/>
          </w:r>
        </w:p>
        <w:p w14:paraId="0A4ABEB3">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"_Toc195797077" </w:instrText>
          </w:r>
          <w:r>
            <w:fldChar w:fldCharType="separate"/>
          </w:r>
          <w:r>
            <w:rPr>
              <w:rStyle w:val="20"/>
              <w:rFonts w:hint="eastAsia" w:eastAsia="黑体"/>
              <w:lang w:val="en-US" w:eastAsia="zh-CN"/>
            </w:rPr>
            <w:t>七</w:t>
          </w:r>
          <w:r>
            <w:rPr>
              <w:rStyle w:val="20"/>
              <w:rFonts w:hint="eastAsia" w:eastAsia="黑体"/>
            </w:rPr>
            <w:t>、 部门整体支出绩效情况</w:t>
          </w:r>
          <w:r>
            <w:rPr>
              <w:rFonts w:hint="eastAsia"/>
            </w:rPr>
            <w:tab/>
          </w:r>
          <w:r>
            <w:rPr>
              <w:rFonts w:hint="eastAsia"/>
            </w:rPr>
            <w:fldChar w:fldCharType="begin"/>
          </w:r>
          <w:r>
            <w:rPr>
              <w:rFonts w:hint="eastAsia"/>
            </w:rPr>
            <w:instrText xml:space="preserve"> </w:instrText>
          </w:r>
          <w:r>
            <w:instrText xml:space="preserve">PAGEREF _Toc195797077 \h</w:instrText>
          </w:r>
          <w:r>
            <w:rPr>
              <w:rFonts w:hint="eastAsia"/>
            </w:rPr>
            <w:instrText xml:space="preserve"> </w:instrText>
          </w:r>
          <w:r>
            <w:rPr>
              <w:rFonts w:hint="eastAsia"/>
            </w:rPr>
            <w:fldChar w:fldCharType="separate"/>
          </w:r>
          <w:r>
            <w:rPr>
              <w:rFonts w:hint="eastAsia"/>
            </w:rPr>
            <w:t>1</w:t>
          </w:r>
          <w:r>
            <w:rPr>
              <w:rFonts w:hint="eastAsia"/>
              <w:lang w:val="en-US" w:eastAsia="zh-CN"/>
            </w:rPr>
            <w:t>4</w:t>
          </w:r>
          <w:r>
            <w:rPr>
              <w:rFonts w:hint="eastAsia"/>
            </w:rPr>
            <w:fldChar w:fldCharType="end"/>
          </w:r>
          <w:r>
            <w:rPr>
              <w:rFonts w:hint="eastAsia"/>
            </w:rPr>
            <w:fldChar w:fldCharType="end"/>
          </w:r>
        </w:p>
        <w:p w14:paraId="70829BDC">
          <w:pPr>
            <w:pStyle w:val="14"/>
            <w:rPr>
              <w:rFonts w:hint="eastAsia" w:asciiTheme="minorHAnsi" w:hAnsiTheme="minorHAnsi" w:eastAsiaTheme="minorEastAsia" w:cstheme="minorBidi"/>
              <w:sz w:val="22"/>
              <w:szCs w:val="24"/>
              <w14:ligatures w14:val="standardContextual"/>
            </w:rPr>
          </w:pPr>
          <w:r>
            <w:fldChar w:fldCharType="begin"/>
          </w:r>
          <w:r>
            <w:instrText xml:space="preserve"> HYPERLINK \l "_Toc195797078" </w:instrText>
          </w:r>
          <w:r>
            <w:fldChar w:fldCharType="separate"/>
          </w:r>
          <w:r>
            <w:rPr>
              <w:rStyle w:val="20"/>
              <w:rFonts w:hint="eastAsia" w:eastAsia="楷体_GB2312"/>
            </w:rPr>
            <w:t>（一）部门职责履行情况分析</w:t>
          </w:r>
          <w:r>
            <w:rPr>
              <w:rFonts w:hint="eastAsia"/>
            </w:rPr>
            <w:tab/>
          </w:r>
          <w:r>
            <w:rPr>
              <w:rFonts w:hint="eastAsia"/>
            </w:rPr>
            <w:fldChar w:fldCharType="begin"/>
          </w:r>
          <w:r>
            <w:rPr>
              <w:rFonts w:hint="eastAsia"/>
            </w:rPr>
            <w:instrText xml:space="preserve"> </w:instrText>
          </w:r>
          <w:r>
            <w:instrText xml:space="preserve">PAGEREF _Toc195797078 \h</w:instrText>
          </w:r>
          <w:r>
            <w:rPr>
              <w:rFonts w:hint="eastAsia"/>
            </w:rPr>
            <w:instrText xml:space="preserve"> </w:instrText>
          </w:r>
          <w:r>
            <w:rPr>
              <w:rFonts w:hint="eastAsia"/>
            </w:rPr>
            <w:fldChar w:fldCharType="separate"/>
          </w:r>
          <w:r>
            <w:t>1</w:t>
          </w:r>
          <w:r>
            <w:rPr>
              <w:rFonts w:hint="eastAsia"/>
              <w:lang w:val="en-US" w:eastAsia="zh-CN"/>
            </w:rPr>
            <w:t>4</w:t>
          </w:r>
          <w:r>
            <w:rPr>
              <w:rFonts w:hint="eastAsia"/>
            </w:rPr>
            <w:fldChar w:fldCharType="end"/>
          </w:r>
          <w:r>
            <w:rPr>
              <w:rFonts w:hint="eastAsia"/>
            </w:rPr>
            <w:fldChar w:fldCharType="end"/>
          </w:r>
        </w:p>
        <w:p w14:paraId="04F0DB90">
          <w:pPr>
            <w:pStyle w:val="14"/>
            <w:rPr>
              <w:rFonts w:hint="eastAsia" w:eastAsia="仿宋_GB2312"/>
              <w:lang w:val="en-US" w:eastAsia="zh-CN"/>
            </w:rPr>
          </w:pPr>
          <w:r>
            <w:fldChar w:fldCharType="begin"/>
          </w:r>
          <w:r>
            <w:instrText xml:space="preserve"> HYPERLINK \l "_Toc195797081" </w:instrText>
          </w:r>
          <w:r>
            <w:fldChar w:fldCharType="separate"/>
          </w:r>
          <w:r>
            <w:rPr>
              <w:rStyle w:val="20"/>
              <w:rFonts w:hint="eastAsia" w:eastAsia="楷体_GB2312"/>
            </w:rPr>
            <w:t>（</w:t>
          </w:r>
          <w:r>
            <w:rPr>
              <w:rStyle w:val="20"/>
              <w:rFonts w:hint="eastAsia" w:eastAsia="楷体_GB2312"/>
              <w:lang w:val="en-US" w:eastAsia="zh-CN"/>
            </w:rPr>
            <w:t>二</w:t>
          </w:r>
          <w:r>
            <w:rPr>
              <w:rStyle w:val="20"/>
              <w:rFonts w:hint="eastAsia" w:eastAsia="楷体_GB2312"/>
            </w:rPr>
            <w:t>）绩效自评结论</w:t>
          </w:r>
          <w:r>
            <w:rPr>
              <w:rFonts w:hint="eastAsia"/>
            </w:rPr>
            <w:tab/>
          </w:r>
          <w:r>
            <w:rPr>
              <w:rFonts w:hint="eastAsia"/>
              <w:lang w:val="en-US" w:eastAsia="zh-CN"/>
            </w:rPr>
            <w:t>2</w:t>
          </w:r>
          <w:r>
            <w:rPr>
              <w:rFonts w:hint="eastAsia"/>
            </w:rPr>
            <w:fldChar w:fldCharType="end"/>
          </w:r>
          <w:r>
            <w:rPr>
              <w:rFonts w:hint="eastAsia"/>
              <w:lang w:val="en-US" w:eastAsia="zh-CN"/>
            </w:rPr>
            <w:t>1</w:t>
          </w:r>
        </w:p>
        <w:p w14:paraId="2723CB8D">
          <w:pPr>
            <w:pStyle w:val="12"/>
            <w:rPr>
              <w:rFonts w:hint="eastAsia" w:eastAsia="仿宋_GB2312" w:asciiTheme="minorHAnsi" w:hAnsiTheme="minorHAnsi" w:cstheme="minorBidi"/>
              <w:b w:val="0"/>
              <w:bCs w:val="0"/>
              <w:kern w:val="2"/>
              <w:sz w:val="22"/>
              <w:szCs w:val="24"/>
              <w:lang w:val="en-US" w:eastAsia="zh-CN"/>
              <w14:ligatures w14:val="standardContextual"/>
            </w:rPr>
          </w:pPr>
          <w:r>
            <w:fldChar w:fldCharType="begin"/>
          </w:r>
          <w:r>
            <w:instrText xml:space="preserve"> HYPERLINK \l "_Toc195797082" </w:instrText>
          </w:r>
          <w:r>
            <w:fldChar w:fldCharType="separate"/>
          </w:r>
          <w:r>
            <w:rPr>
              <w:rStyle w:val="20"/>
              <w:rFonts w:hint="eastAsia" w:eastAsia="黑体"/>
              <w:lang w:val="en-US" w:eastAsia="zh-CN"/>
            </w:rPr>
            <w:t>八</w:t>
          </w:r>
          <w:r>
            <w:rPr>
              <w:rStyle w:val="20"/>
              <w:rFonts w:hint="eastAsia" w:eastAsia="黑体"/>
            </w:rPr>
            <w:t>、 存在的问题及原因分析</w:t>
          </w:r>
          <w:r>
            <w:rPr>
              <w:rFonts w:hint="eastAsia"/>
            </w:rPr>
            <w:tab/>
          </w:r>
          <w:r>
            <w:rPr>
              <w:rFonts w:hint="eastAsia"/>
              <w:lang w:val="en-US" w:eastAsia="zh-CN"/>
            </w:rPr>
            <w:t>21</w:t>
          </w:r>
          <w:r>
            <w:rPr>
              <w:rFonts w:hint="eastAsia"/>
            </w:rPr>
            <w:fldChar w:fldCharType="end"/>
          </w:r>
        </w:p>
        <w:p w14:paraId="2344A875">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"_Toc195797083" </w:instrText>
          </w:r>
          <w:r>
            <w:fldChar w:fldCharType="separate"/>
          </w:r>
          <w:r>
            <w:rPr>
              <w:rStyle w:val="20"/>
              <w:rFonts w:hint="eastAsia" w:eastAsia="楷体_GB2312"/>
            </w:rPr>
            <w:t>（一）政务信息公开质效有待提升</w:t>
          </w:r>
          <w:r>
            <w:rPr>
              <w:rFonts w:hint="eastAsia"/>
            </w:rPr>
            <w:tab/>
          </w:r>
          <w:r>
            <w:rPr>
              <w:rFonts w:hint="eastAsia"/>
              <w:lang w:val="en-US" w:eastAsia="zh-CN"/>
            </w:rPr>
            <w:t>21</w:t>
          </w:r>
          <w:r>
            <w:rPr>
              <w:rFonts w:hint="eastAsia"/>
            </w:rPr>
            <w:fldChar w:fldCharType="end"/>
          </w:r>
        </w:p>
        <w:p w14:paraId="1BFF47E1">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"_Toc195797084" </w:instrText>
          </w:r>
          <w:r>
            <w:fldChar w:fldCharType="separate"/>
          </w:r>
          <w:r>
            <w:rPr>
              <w:rStyle w:val="20"/>
              <w:rFonts w:hint="eastAsia" w:eastAsia="楷体_GB2312"/>
            </w:rPr>
            <w:t>（二）项目预算编制的精准度有待提高</w:t>
          </w:r>
          <w:r>
            <w:rPr>
              <w:rFonts w:hint="eastAsia"/>
            </w:rPr>
            <w:tab/>
          </w:r>
          <w:r>
            <w:rPr>
              <w:rFonts w:hint="eastAsia"/>
              <w:lang w:val="en-US" w:eastAsia="zh-CN"/>
            </w:rPr>
            <w:t>2</w:t>
          </w:r>
          <w:r>
            <w:rPr>
              <w:rFonts w:hint="eastAsia"/>
            </w:rPr>
            <w:fldChar w:fldCharType="end"/>
          </w:r>
          <w:r>
            <w:rPr>
              <w:rFonts w:hint="eastAsia"/>
              <w:lang w:val="en-US" w:eastAsia="zh-CN"/>
            </w:rPr>
            <w:t>2</w:t>
          </w:r>
        </w:p>
        <w:p w14:paraId="4C03BE43">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"_Toc195797086" </w:instrText>
          </w:r>
          <w:r>
            <w:fldChar w:fldCharType="separate"/>
          </w:r>
          <w:r>
            <w:rPr>
              <w:rStyle w:val="20"/>
              <w:rFonts w:hint="eastAsia" w:eastAsia="楷体_GB2312"/>
            </w:rPr>
            <w:t>（三）部分项目支付进度迟缓，造成预算执行率降低</w:t>
          </w:r>
          <w:r>
            <w:rPr>
              <w:rFonts w:hint="eastAsia"/>
            </w:rPr>
            <w:tab/>
          </w:r>
          <w:r>
            <w:rPr>
              <w:rFonts w:hint="eastAsia"/>
              <w:lang w:val="en-US" w:eastAsia="zh-CN"/>
            </w:rPr>
            <w:t>2</w:t>
          </w:r>
          <w:r>
            <w:rPr>
              <w:rFonts w:hint="eastAsia"/>
            </w:rPr>
            <w:fldChar w:fldCharType="end"/>
          </w:r>
          <w:r>
            <w:rPr>
              <w:rFonts w:hint="eastAsia"/>
              <w:lang w:val="en-US" w:eastAsia="zh-CN"/>
            </w:rPr>
            <w:t>2</w:t>
          </w:r>
        </w:p>
        <w:p w14:paraId="0DA08ACF">
          <w:pPr>
            <w:pStyle w:val="12"/>
            <w:rPr>
              <w:rFonts w:hint="eastAsia" w:eastAsia="仿宋_GB2312" w:asciiTheme="minorHAnsi" w:hAnsiTheme="minorHAnsi" w:cstheme="minorBidi"/>
              <w:b w:val="0"/>
              <w:bCs w:val="0"/>
              <w:kern w:val="2"/>
              <w:sz w:val="22"/>
              <w:szCs w:val="24"/>
              <w:lang w:val="en-US" w:eastAsia="zh-CN"/>
              <w14:ligatures w14:val="standardContextual"/>
            </w:rPr>
          </w:pPr>
          <w:r>
            <w:fldChar w:fldCharType="begin"/>
          </w:r>
          <w:r>
            <w:instrText xml:space="preserve"> HYPERLINK \l "_Toc195797088" </w:instrText>
          </w:r>
          <w:r>
            <w:fldChar w:fldCharType="separate"/>
          </w:r>
          <w:r>
            <w:rPr>
              <w:rStyle w:val="20"/>
              <w:rFonts w:hint="eastAsia" w:eastAsia="黑体"/>
              <w:lang w:val="en-US" w:eastAsia="zh-CN"/>
            </w:rPr>
            <w:t>九</w:t>
          </w:r>
          <w:r>
            <w:rPr>
              <w:rStyle w:val="20"/>
              <w:rFonts w:hint="eastAsia" w:eastAsia="黑体"/>
            </w:rPr>
            <w:t>、 下一步改进措施</w:t>
          </w:r>
          <w:r>
            <w:rPr>
              <w:rFonts w:hint="eastAsia"/>
            </w:rPr>
            <w:tab/>
          </w:r>
          <w:r>
            <w:rPr>
              <w:rFonts w:hint="eastAsia"/>
              <w:lang w:val="en-US" w:eastAsia="zh-CN"/>
            </w:rPr>
            <w:t>2</w:t>
          </w:r>
          <w:r>
            <w:rPr>
              <w:rFonts w:hint="eastAsia"/>
            </w:rPr>
            <w:fldChar w:fldCharType="end"/>
          </w:r>
          <w:r>
            <w:rPr>
              <w:rFonts w:hint="eastAsia"/>
              <w:lang w:val="en-US" w:eastAsia="zh-CN"/>
            </w:rPr>
            <w:t>2</w:t>
          </w:r>
        </w:p>
        <w:p w14:paraId="62F9CF82">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"_Toc195797089" </w:instrText>
          </w:r>
          <w:r>
            <w:fldChar w:fldCharType="separate"/>
          </w:r>
          <w:r>
            <w:rPr>
              <w:rStyle w:val="20"/>
              <w:rFonts w:hint="eastAsia" w:eastAsia="楷体_GB2312"/>
            </w:rPr>
            <w:t>（一）拓展信息公开维度，健全多元传播体系</w:t>
          </w:r>
          <w:r>
            <w:rPr>
              <w:rFonts w:hint="eastAsia"/>
            </w:rPr>
            <w:tab/>
          </w:r>
          <w:r>
            <w:rPr>
              <w:rFonts w:hint="eastAsia"/>
              <w:lang w:val="en-US" w:eastAsia="zh-CN"/>
            </w:rPr>
            <w:t>2</w:t>
          </w:r>
          <w:r>
            <w:rPr>
              <w:rFonts w:hint="eastAsia"/>
            </w:rPr>
            <w:fldChar w:fldCharType="end"/>
          </w:r>
          <w:r>
            <w:rPr>
              <w:rFonts w:hint="eastAsia"/>
              <w:lang w:val="en-US" w:eastAsia="zh-CN"/>
            </w:rPr>
            <w:t>2</w:t>
          </w:r>
        </w:p>
        <w:p w14:paraId="249AA3CB">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"_Toc195797090" </w:instrText>
          </w:r>
          <w:r>
            <w:fldChar w:fldCharType="separate"/>
          </w:r>
          <w:r>
            <w:rPr>
              <w:rStyle w:val="20"/>
              <w:rFonts w:hint="eastAsia" w:eastAsia="楷体_GB2312"/>
            </w:rPr>
            <w:t>（二）强化预算管理，科学编制预算</w:t>
          </w:r>
          <w:r>
            <w:rPr>
              <w:rFonts w:hint="eastAsia"/>
            </w:rPr>
            <w:tab/>
          </w:r>
          <w:r>
            <w:rPr>
              <w:rFonts w:hint="eastAsia"/>
              <w:lang w:val="en-US" w:eastAsia="zh-CN"/>
            </w:rPr>
            <w:t>2</w:t>
          </w:r>
          <w:r>
            <w:rPr>
              <w:rFonts w:hint="eastAsia"/>
            </w:rPr>
            <w:fldChar w:fldCharType="end"/>
          </w:r>
          <w:r>
            <w:rPr>
              <w:rFonts w:hint="eastAsia"/>
              <w:lang w:val="en-US" w:eastAsia="zh-CN"/>
            </w:rPr>
            <w:t>2</w:t>
          </w:r>
        </w:p>
        <w:p w14:paraId="6511FAC4">
          <w:pPr>
            <w:pStyle w:val="14"/>
            <w:rPr>
              <w:rFonts w:hint="eastAsia" w:eastAsia="仿宋_GB2312" w:asciiTheme="minorHAnsi" w:hAnsiTheme="minorHAnsi" w:cstheme="minorBidi"/>
              <w:sz w:val="22"/>
              <w:szCs w:val="24"/>
              <w:lang w:val="en-US" w:eastAsia="zh-CN"/>
              <w14:ligatures w14:val="standardContextual"/>
            </w:rPr>
          </w:pPr>
          <w:r>
            <w:fldChar w:fldCharType="begin"/>
          </w:r>
          <w:r>
            <w:instrText xml:space="preserve"> HYPERLINK \l "_Toc195797092" </w:instrText>
          </w:r>
          <w:r>
            <w:fldChar w:fldCharType="separate"/>
          </w:r>
          <w:r>
            <w:rPr>
              <w:rStyle w:val="20"/>
              <w:rFonts w:hint="eastAsia" w:eastAsia="楷体_GB2312"/>
            </w:rPr>
            <w:t>（三）合理安排资金，加快支出进度</w:t>
          </w:r>
          <w:r>
            <w:rPr>
              <w:rFonts w:hint="eastAsia"/>
            </w:rPr>
            <w:tab/>
          </w:r>
          <w:r>
            <w:rPr>
              <w:rFonts w:hint="eastAsia"/>
              <w:lang w:val="en-US" w:eastAsia="zh-CN"/>
            </w:rPr>
            <w:t>2</w:t>
          </w:r>
          <w:r>
            <w:rPr>
              <w:rFonts w:hint="eastAsia"/>
            </w:rPr>
            <w:fldChar w:fldCharType="end"/>
          </w:r>
          <w:r>
            <w:rPr>
              <w:rFonts w:hint="eastAsia"/>
              <w:lang w:val="en-US" w:eastAsia="zh-CN"/>
            </w:rPr>
            <w:t>3</w:t>
          </w:r>
        </w:p>
        <w:p w14:paraId="6653821A">
          <w:pPr>
            <w:pStyle w:val="12"/>
            <w:rPr>
              <w:rFonts w:hint="eastAsia" w:asciiTheme="minorHAnsi" w:hAnsiTheme="minorHAnsi" w:eastAsiaTheme="minorEastAsia" w:cstheme="minorBidi"/>
              <w:b w:val="0"/>
              <w:bCs w:val="0"/>
              <w:kern w:val="2"/>
              <w:sz w:val="22"/>
              <w:szCs w:val="24"/>
              <w14:ligatures w14:val="standardContextual"/>
            </w:rPr>
          </w:pPr>
          <w:r>
            <w:fldChar w:fldCharType="begin"/>
          </w:r>
          <w:r>
            <w:instrText xml:space="preserve"> HYPERLINK \l "_Toc195797094" </w:instrText>
          </w:r>
          <w:r>
            <w:fldChar w:fldCharType="separate"/>
          </w:r>
          <w:r>
            <w:rPr>
              <w:rStyle w:val="20"/>
              <w:rFonts w:hint="eastAsia" w:eastAsia="黑体"/>
              <w:lang w:val="en-US" w:eastAsia="zh-CN"/>
            </w:rPr>
            <w:t>十</w:t>
          </w:r>
          <w:r>
            <w:rPr>
              <w:rStyle w:val="20"/>
              <w:rFonts w:hint="eastAsia" w:eastAsia="黑体"/>
            </w:rPr>
            <w:t>、 绩效自评结果拟应用和公开情况</w:t>
          </w:r>
          <w:r>
            <w:rPr>
              <w:rFonts w:hint="eastAsia"/>
            </w:rPr>
            <w:tab/>
          </w:r>
          <w:r>
            <w:rPr>
              <w:rFonts w:hint="eastAsia"/>
            </w:rPr>
            <w:fldChar w:fldCharType="begin"/>
          </w:r>
          <w:r>
            <w:rPr>
              <w:rFonts w:hint="eastAsia"/>
            </w:rPr>
            <w:instrText xml:space="preserve"> </w:instrText>
          </w:r>
          <w:r>
            <w:instrText xml:space="preserve">PAGEREF _Toc195797094 \h</w:instrText>
          </w:r>
          <w:r>
            <w:rPr>
              <w:rFonts w:hint="eastAsia"/>
            </w:rPr>
            <w:instrText xml:space="preserve"> </w:instrText>
          </w:r>
          <w:r>
            <w:rPr>
              <w:rFonts w:hint="eastAsia"/>
            </w:rPr>
            <w:fldChar w:fldCharType="separate"/>
          </w:r>
          <w:r>
            <w:rPr>
              <w:rFonts w:hint="eastAsia"/>
            </w:rPr>
            <w:t>2</w:t>
          </w:r>
          <w:r>
            <w:rPr>
              <w:rFonts w:hint="eastAsia"/>
              <w:lang w:val="en-US" w:eastAsia="zh-CN"/>
            </w:rPr>
            <w:t>3</w:t>
          </w:r>
          <w:r>
            <w:rPr>
              <w:rFonts w:hint="eastAsia"/>
            </w:rPr>
            <w:fldChar w:fldCharType="end"/>
          </w:r>
          <w:r>
            <w:rPr>
              <w:rFonts w:hint="eastAsia"/>
            </w:rPr>
            <w:fldChar w:fldCharType="end"/>
          </w:r>
        </w:p>
        <w:p w14:paraId="419230FF">
          <w:pPr>
            <w:rPr>
              <w:rFonts w:eastAsia="仿宋_GB2312"/>
              <w:b/>
              <w:bCs/>
              <w:sz w:val="30"/>
              <w:szCs w:val="30"/>
              <w:lang w:val="zh-CN"/>
            </w:rPr>
          </w:pPr>
          <w:r>
            <w:rPr>
              <w:rFonts w:eastAsia="仿宋_GB2312"/>
              <w:sz w:val="32"/>
              <w:szCs w:val="32"/>
              <w:lang w:val="zh-CN"/>
            </w:rPr>
            <w:fldChar w:fldCharType="end"/>
          </w:r>
        </w:p>
      </w:sdtContent>
    </w:sdt>
    <w:sdt>
      <w:sdtPr>
        <w:rPr>
          <w:lang w:val="zh-CN"/>
        </w:rPr>
        <w:id w:val="-1608957593"/>
        <w:showingPlcHdr/>
        <w:docPartObj>
          <w:docPartGallery w:val="Table of Contents"/>
          <w:docPartUnique/>
        </w:docPartObj>
      </w:sdtPr>
      <w:sdtEndPr>
        <w:rPr>
          <w:rFonts w:hint="eastAsia" w:ascii="仿宋_GB2312" w:eastAsia="仿宋_GB2312"/>
          <w:b/>
          <w:bCs/>
          <w:sz w:val="30"/>
          <w:szCs w:val="30"/>
          <w:lang w:val="zh-CN"/>
        </w:rPr>
      </w:sdtEndPr>
      <w:sdtContent>
        <w:p w14:paraId="404EB3CE">
          <w:pPr>
            <w:rPr>
              <w:rFonts w:ascii="仿宋_GB2312" w:eastAsia="仿宋_GB2312"/>
              <w:sz w:val="30"/>
              <w:szCs w:val="30"/>
            </w:rPr>
          </w:pPr>
          <w:r>
            <w:rPr>
              <w:rFonts w:hint="eastAsia"/>
              <w:lang w:val="zh-CN"/>
            </w:rPr>
            <w:t xml:space="preserve">     </w:t>
          </w:r>
        </w:p>
      </w:sdtContent>
    </w:sdt>
    <w:p w14:paraId="507CFFB0">
      <w:pPr>
        <w:spacing w:line="592" w:lineRule="exact"/>
        <w:jc w:val="center"/>
        <w:rPr>
          <w:rFonts w:eastAsia="仿宋_GB2312"/>
          <w:b/>
          <w:sz w:val="32"/>
          <w:szCs w:val="32"/>
        </w:rPr>
        <w:sectPr>
          <w:headerReference r:id="rId3" w:type="default"/>
          <w:footerReference r:id="rId4" w:type="default"/>
          <w:pgSz w:w="11906" w:h="16838"/>
          <w:pgMar w:top="1440" w:right="1684" w:bottom="1440" w:left="1797" w:header="851" w:footer="992" w:gutter="0"/>
          <w:cols w:space="720" w:num="1"/>
          <w:docGrid w:type="lines" w:linePitch="312" w:charSpace="0"/>
        </w:sectPr>
      </w:pPr>
    </w:p>
    <w:p w14:paraId="19C07EC0">
      <w:pPr>
        <w:spacing w:line="600" w:lineRule="exact"/>
        <w:jc w:val="center"/>
        <w:rPr>
          <w:rFonts w:eastAsia="方正小标宋_GBK"/>
          <w:sz w:val="44"/>
          <w:szCs w:val="44"/>
        </w:rPr>
      </w:pPr>
    </w:p>
    <w:p w14:paraId="08CB496B">
      <w:pPr>
        <w:spacing w:line="600" w:lineRule="exact"/>
        <w:jc w:val="center"/>
        <w:rPr>
          <w:rFonts w:eastAsia="方正小标宋_GBK"/>
          <w:sz w:val="44"/>
          <w:szCs w:val="44"/>
        </w:rPr>
      </w:pPr>
      <w:r>
        <w:rPr>
          <w:rFonts w:eastAsia="方正小标宋_GBK"/>
          <w:sz w:val="44"/>
          <w:szCs w:val="44"/>
        </w:rPr>
        <w:t>202</w:t>
      </w:r>
      <w:r>
        <w:rPr>
          <w:rFonts w:hint="eastAsia" w:ascii="Cambria" w:hAnsi="Cambria" w:eastAsia="方正小标宋_GBK"/>
          <w:sz w:val="44"/>
          <w:szCs w:val="44"/>
          <w:lang w:val="en-US" w:eastAsia="zh-CN"/>
        </w:rPr>
        <w:t>5</w:t>
      </w:r>
      <w:r>
        <w:rPr>
          <w:rFonts w:eastAsia="方正小标宋_GBK"/>
          <w:sz w:val="44"/>
          <w:szCs w:val="44"/>
        </w:rPr>
        <w:t>年度湖南省人力资源和社会保障厅</w:t>
      </w:r>
    </w:p>
    <w:p w14:paraId="79CC5427">
      <w:pPr>
        <w:spacing w:line="600" w:lineRule="exact"/>
        <w:jc w:val="center"/>
        <w:rPr>
          <w:rFonts w:eastAsia="方正小标宋_GBK"/>
          <w:sz w:val="44"/>
          <w:szCs w:val="44"/>
        </w:rPr>
      </w:pPr>
      <w:r>
        <w:rPr>
          <w:rFonts w:eastAsia="方正小标宋_GBK"/>
          <w:sz w:val="44"/>
          <w:szCs w:val="44"/>
        </w:rPr>
        <w:t>部门整体支出绩效自评报告</w:t>
      </w:r>
    </w:p>
    <w:p w14:paraId="2EC5448B">
      <w:pPr>
        <w:spacing w:line="600" w:lineRule="exact"/>
        <w:jc w:val="center"/>
        <w:rPr>
          <w:rFonts w:eastAsia="方正小标宋_GBK"/>
          <w:sz w:val="44"/>
          <w:szCs w:val="44"/>
        </w:rPr>
      </w:pPr>
    </w:p>
    <w:p w14:paraId="60E36362">
      <w:pPr>
        <w:pStyle w:val="10"/>
      </w:pPr>
    </w:p>
    <w:p w14:paraId="0E688D1B">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eastAsia="仿宋_GB2312"/>
          <w:sz w:val="32"/>
          <w:szCs w:val="32"/>
        </w:rPr>
        <w:t>为贯彻落实</w:t>
      </w:r>
      <w:r>
        <w:rPr>
          <w:rFonts w:hint="eastAsia" w:eastAsia="仿宋_GB2312"/>
          <w:sz w:val="32"/>
          <w:szCs w:val="32"/>
          <w:lang w:val="en-US" w:eastAsia="zh-CN"/>
        </w:rPr>
        <w:t>党</w:t>
      </w:r>
      <w:r>
        <w:rPr>
          <w:rFonts w:eastAsia="仿宋_GB2312"/>
          <w:sz w:val="32"/>
          <w:szCs w:val="32"/>
        </w:rPr>
        <w:t>中央</w:t>
      </w:r>
      <w:r>
        <w:rPr>
          <w:rFonts w:hint="eastAsia" w:eastAsia="仿宋_GB2312"/>
          <w:sz w:val="32"/>
          <w:szCs w:val="32"/>
          <w:lang w:eastAsia="zh-CN"/>
        </w:rPr>
        <w:t>、</w:t>
      </w:r>
      <w:r>
        <w:rPr>
          <w:rFonts w:hint="eastAsia" w:eastAsia="仿宋_GB2312"/>
          <w:sz w:val="32"/>
          <w:szCs w:val="32"/>
          <w:lang w:val="en-US" w:eastAsia="zh-CN"/>
        </w:rPr>
        <w:t>国务院</w:t>
      </w:r>
      <w:r>
        <w:rPr>
          <w:rFonts w:eastAsia="仿宋_GB2312"/>
          <w:sz w:val="32"/>
          <w:szCs w:val="32"/>
        </w:rPr>
        <w:t>和</w:t>
      </w:r>
      <w:r>
        <w:rPr>
          <w:rFonts w:hint="eastAsia" w:eastAsia="仿宋_GB2312"/>
          <w:sz w:val="32"/>
          <w:szCs w:val="32"/>
        </w:rPr>
        <w:t>省委、省政府</w:t>
      </w:r>
      <w:r>
        <w:rPr>
          <w:rFonts w:eastAsia="仿宋_GB2312"/>
          <w:sz w:val="32"/>
          <w:szCs w:val="32"/>
        </w:rPr>
        <w:t>关于全面实施预算绩效管理决策部署，进一步</w:t>
      </w:r>
      <w:r>
        <w:rPr>
          <w:rFonts w:hint="eastAsia" w:eastAsia="仿宋_GB2312"/>
          <w:sz w:val="32"/>
          <w:szCs w:val="32"/>
          <w:lang w:val="en-US" w:eastAsia="zh-CN"/>
        </w:rPr>
        <w:t>提升</w:t>
      </w:r>
      <w:r>
        <w:rPr>
          <w:rFonts w:eastAsia="仿宋_GB2312"/>
          <w:sz w:val="32"/>
          <w:szCs w:val="32"/>
        </w:rPr>
        <w:t>财政资金配置使用效率，根据省财政厅《湖南省财政厅关于开展202</w:t>
      </w:r>
      <w:r>
        <w:rPr>
          <w:rFonts w:hint="eastAsia" w:eastAsia="仿宋_GB2312"/>
          <w:sz w:val="32"/>
          <w:szCs w:val="32"/>
          <w:lang w:val="en-US" w:eastAsia="zh-CN"/>
        </w:rPr>
        <w:t>5</w:t>
      </w:r>
      <w:r>
        <w:rPr>
          <w:rFonts w:eastAsia="仿宋_GB2312"/>
          <w:sz w:val="32"/>
          <w:szCs w:val="32"/>
        </w:rPr>
        <w:t>年度省级预算部门绩效自评和部门评价的通知》</w:t>
      </w:r>
      <w:r>
        <w:rPr>
          <w:rFonts w:hint="eastAsia" w:eastAsia="仿宋_GB2312"/>
          <w:sz w:val="32"/>
          <w:szCs w:val="32"/>
        </w:rPr>
        <w:t>（湘财绩〔202</w:t>
      </w:r>
      <w:r>
        <w:rPr>
          <w:rFonts w:hint="eastAsia" w:eastAsia="仿宋_GB2312"/>
          <w:sz w:val="32"/>
          <w:szCs w:val="32"/>
          <w:lang w:val="en-US" w:eastAsia="zh-CN"/>
        </w:rPr>
        <w:t>6</w:t>
      </w:r>
      <w:r>
        <w:rPr>
          <w:rFonts w:hint="eastAsia" w:eastAsia="仿宋_GB2312"/>
          <w:sz w:val="32"/>
          <w:szCs w:val="32"/>
        </w:rPr>
        <w:t>〕2号）</w:t>
      </w:r>
      <w:r>
        <w:rPr>
          <w:rFonts w:eastAsia="仿宋_GB2312"/>
          <w:sz w:val="32"/>
          <w:szCs w:val="32"/>
        </w:rPr>
        <w:t>要求，湖南省人力资源和社会保障厅</w:t>
      </w:r>
      <w:r>
        <w:rPr>
          <w:rFonts w:hint="eastAsia" w:eastAsia="仿宋_GB2312"/>
          <w:sz w:val="32"/>
          <w:szCs w:val="32"/>
        </w:rPr>
        <w:t>（以下简称“我厅”）</w:t>
      </w:r>
      <w:r>
        <w:rPr>
          <w:rFonts w:eastAsia="仿宋_GB2312"/>
          <w:sz w:val="32"/>
          <w:szCs w:val="32"/>
        </w:rPr>
        <w:t>成立绩效评价工作小组，自202</w:t>
      </w:r>
      <w:r>
        <w:rPr>
          <w:rFonts w:hint="eastAsia" w:eastAsia="仿宋_GB2312"/>
          <w:sz w:val="32"/>
          <w:szCs w:val="32"/>
          <w:lang w:val="en-US" w:eastAsia="zh-CN"/>
        </w:rPr>
        <w:t>6</w:t>
      </w:r>
      <w:r>
        <w:rPr>
          <w:rFonts w:eastAsia="仿宋_GB2312"/>
          <w:sz w:val="32"/>
          <w:szCs w:val="32"/>
        </w:rPr>
        <w:t>年</w:t>
      </w:r>
      <w:r>
        <w:rPr>
          <w:rFonts w:hint="eastAsia" w:eastAsia="仿宋_GB2312"/>
          <w:sz w:val="32"/>
          <w:szCs w:val="32"/>
          <w:lang w:val="en-US" w:eastAsia="zh-CN"/>
        </w:rPr>
        <w:t>4</w:t>
      </w:r>
      <w:r>
        <w:rPr>
          <w:rFonts w:eastAsia="仿宋_GB2312"/>
          <w:sz w:val="32"/>
          <w:szCs w:val="32"/>
        </w:rPr>
        <w:t>月</w:t>
      </w:r>
      <w:r>
        <w:rPr>
          <w:rFonts w:hint="eastAsia" w:eastAsia="仿宋_GB2312"/>
          <w:sz w:val="32"/>
          <w:szCs w:val="32"/>
          <w:lang w:val="en-US" w:eastAsia="zh-CN"/>
        </w:rPr>
        <w:t>29</w:t>
      </w:r>
      <w:r>
        <w:rPr>
          <w:rFonts w:eastAsia="仿宋_GB2312"/>
          <w:sz w:val="32"/>
          <w:szCs w:val="32"/>
        </w:rPr>
        <w:t>日起对厅部门整体支出情况实施了绩效自评，现将绩效自评情况报告如下</w:t>
      </w:r>
      <w:r>
        <w:rPr>
          <w:rFonts w:hint="eastAsia" w:eastAsia="仿宋_GB2312"/>
          <w:sz w:val="32"/>
          <w:szCs w:val="32"/>
        </w:rPr>
        <w:t>：</w:t>
      </w:r>
    </w:p>
    <w:p w14:paraId="5BFA0ADD">
      <w:pPr>
        <w:keepNext w:val="0"/>
        <w:keepLines w:val="0"/>
        <w:pageBreakBefore w:val="0"/>
        <w:widowControl w:val="0"/>
        <w:numPr>
          <w:ilvl w:val="0"/>
          <w:numId w:val="1"/>
        </w:numPr>
        <w:kinsoku/>
        <w:wordWrap/>
        <w:overflowPunct/>
        <w:topLinePunct w:val="0"/>
        <w:autoSpaceDE/>
        <w:autoSpaceDN/>
        <w:bidi w:val="0"/>
        <w:adjustRightInd/>
        <w:snapToGrid/>
        <w:spacing w:line="592" w:lineRule="exact"/>
        <w:ind w:firstLine="640" w:firstLineChars="200"/>
        <w:textAlignment w:val="auto"/>
        <w:outlineLvl w:val="0"/>
        <w:rPr>
          <w:rFonts w:eastAsia="黑体"/>
          <w:sz w:val="32"/>
          <w:szCs w:val="32"/>
        </w:rPr>
      </w:pPr>
      <w:bookmarkStart w:id="0" w:name="_Toc195797055"/>
      <w:bookmarkStart w:id="1" w:name="_Toc136174919"/>
      <w:bookmarkStart w:id="2" w:name="_Toc42769220"/>
      <w:bookmarkStart w:id="3" w:name="_Toc167115801"/>
      <w:r>
        <w:rPr>
          <w:rFonts w:eastAsia="黑体"/>
          <w:sz w:val="32"/>
          <w:szCs w:val="32"/>
        </w:rPr>
        <w:t>部门（单位）基本情况</w:t>
      </w:r>
      <w:bookmarkEnd w:id="0"/>
      <w:bookmarkEnd w:id="1"/>
      <w:bookmarkEnd w:id="2"/>
      <w:bookmarkEnd w:id="3"/>
    </w:p>
    <w:p w14:paraId="227FBA1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eastAsia="楷体_GB2312"/>
          <w:b/>
          <w:snapToGrid w:val="0"/>
          <w:kern w:val="0"/>
          <w:sz w:val="32"/>
          <w:szCs w:val="32"/>
        </w:rPr>
      </w:pPr>
      <w:bookmarkStart w:id="4" w:name="_Toc167115802"/>
      <w:bookmarkStart w:id="5" w:name="_Toc195797056"/>
      <w:r>
        <w:rPr>
          <w:rFonts w:eastAsia="楷体_GB2312"/>
          <w:b/>
          <w:snapToGrid w:val="0"/>
          <w:kern w:val="0"/>
          <w:sz w:val="32"/>
          <w:szCs w:val="32"/>
        </w:rPr>
        <w:t>（一）主要职能</w:t>
      </w:r>
      <w:bookmarkEnd w:id="4"/>
      <w:bookmarkEnd w:id="5"/>
    </w:p>
    <w:p w14:paraId="1913F814">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eastAsia="仿宋_GB2312"/>
          <w:sz w:val="32"/>
          <w:szCs w:val="32"/>
        </w:rPr>
        <w:t>我厅为省人民政府组成部门，主要职责如下</w:t>
      </w:r>
      <w:r>
        <w:rPr>
          <w:rFonts w:hint="eastAsia" w:eastAsia="仿宋_GB2312"/>
          <w:sz w:val="32"/>
          <w:szCs w:val="32"/>
        </w:rPr>
        <w:t>：</w:t>
      </w:r>
    </w:p>
    <w:p w14:paraId="2E20CF50">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left="0" w:leftChars="0" w:firstLine="640" w:firstLineChars="200"/>
        <w:textAlignment w:val="auto"/>
        <w:rPr>
          <w:rFonts w:eastAsia="仿宋_GB2312"/>
          <w:sz w:val="32"/>
          <w:szCs w:val="32"/>
        </w:rPr>
      </w:pPr>
      <w:r>
        <w:rPr>
          <w:rFonts w:hint="default" w:ascii="Times New Roman" w:hAnsi="Times New Roman" w:eastAsia="仿宋_GB2312" w:cs="Times New Roman"/>
          <w:kern w:val="2"/>
          <w:sz w:val="32"/>
          <w:szCs w:val="32"/>
          <w:lang w:val="en-US" w:eastAsia="zh-CN" w:bidi="ar-SA"/>
        </w:rPr>
        <w:t>1.</w:t>
      </w:r>
      <w:r>
        <w:rPr>
          <w:rFonts w:eastAsia="仿宋_GB2312"/>
          <w:sz w:val="32"/>
          <w:szCs w:val="32"/>
        </w:rPr>
        <w:t>拟订全省人力资源和社会保障事业发展政策、规划</w:t>
      </w:r>
      <w:r>
        <w:rPr>
          <w:rFonts w:hint="eastAsia" w:eastAsia="仿宋_GB2312"/>
          <w:sz w:val="32"/>
          <w:szCs w:val="32"/>
        </w:rPr>
        <w:t>，</w:t>
      </w:r>
      <w:r>
        <w:rPr>
          <w:rFonts w:eastAsia="仿宋_GB2312"/>
          <w:sz w:val="32"/>
          <w:szCs w:val="32"/>
        </w:rPr>
        <w:t>按规定起草相关地方性法规、规章草案并组织实施。</w:t>
      </w:r>
    </w:p>
    <w:p w14:paraId="3BBE04C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2</w:t>
      </w:r>
      <w:r>
        <w:rPr>
          <w:rFonts w:hint="eastAsia" w:eastAsia="仿宋_GB2312"/>
          <w:sz w:val="32"/>
          <w:szCs w:val="32"/>
          <w:lang w:eastAsia="zh-CN"/>
        </w:rPr>
        <w:t>.</w:t>
      </w:r>
      <w:r>
        <w:rPr>
          <w:rFonts w:eastAsia="仿宋_GB2312"/>
          <w:spacing w:val="-6"/>
          <w:sz w:val="32"/>
          <w:szCs w:val="32"/>
        </w:rPr>
        <w:t>拟订全省人力资源市场发展规划和人力资源服务业发展、人力资源流动政策</w:t>
      </w:r>
      <w:r>
        <w:rPr>
          <w:rFonts w:hint="eastAsia" w:eastAsia="仿宋_GB2312"/>
          <w:spacing w:val="-6"/>
          <w:sz w:val="32"/>
          <w:szCs w:val="32"/>
        </w:rPr>
        <w:t>，</w:t>
      </w:r>
      <w:r>
        <w:rPr>
          <w:rFonts w:eastAsia="仿宋_GB2312"/>
          <w:spacing w:val="-6"/>
          <w:sz w:val="32"/>
          <w:szCs w:val="32"/>
        </w:rPr>
        <w:t>促进人力资源合理流动、有效配置。</w:t>
      </w:r>
    </w:p>
    <w:p w14:paraId="03CB3D6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3</w:t>
      </w:r>
      <w:r>
        <w:rPr>
          <w:rFonts w:hint="eastAsia" w:eastAsia="仿宋_GB2312"/>
          <w:sz w:val="32"/>
          <w:szCs w:val="32"/>
          <w:lang w:eastAsia="zh-CN"/>
        </w:rPr>
        <w:t>.</w:t>
      </w:r>
      <w:r>
        <w:rPr>
          <w:rFonts w:eastAsia="仿宋_GB2312"/>
          <w:sz w:val="32"/>
          <w:szCs w:val="32"/>
        </w:rPr>
        <w:t>负责全省促进就业工作</w:t>
      </w:r>
      <w:r>
        <w:rPr>
          <w:rFonts w:hint="eastAsia" w:eastAsia="仿宋_GB2312"/>
          <w:sz w:val="32"/>
          <w:szCs w:val="32"/>
        </w:rPr>
        <w:t>，</w:t>
      </w:r>
      <w:r>
        <w:rPr>
          <w:rFonts w:eastAsia="仿宋_GB2312"/>
          <w:sz w:val="32"/>
          <w:szCs w:val="32"/>
        </w:rPr>
        <w:t>拟订统筹城乡的就业发展规划和政策</w:t>
      </w:r>
      <w:r>
        <w:rPr>
          <w:rFonts w:hint="eastAsia" w:eastAsia="仿宋_GB2312"/>
          <w:sz w:val="32"/>
          <w:szCs w:val="32"/>
        </w:rPr>
        <w:t>，</w:t>
      </w:r>
      <w:r>
        <w:rPr>
          <w:rFonts w:eastAsia="仿宋_GB2312"/>
          <w:sz w:val="32"/>
          <w:szCs w:val="32"/>
        </w:rPr>
        <w:t>完善公共就业创业服务体系</w:t>
      </w:r>
      <w:r>
        <w:rPr>
          <w:rFonts w:hint="eastAsia" w:eastAsia="仿宋_GB2312"/>
          <w:sz w:val="32"/>
          <w:szCs w:val="32"/>
        </w:rPr>
        <w:t>，</w:t>
      </w:r>
      <w:r>
        <w:rPr>
          <w:rFonts w:eastAsia="仿宋_GB2312"/>
          <w:sz w:val="32"/>
          <w:szCs w:val="32"/>
        </w:rPr>
        <w:t>统筹建立面向城乡劳动者的职业技能培训制度</w:t>
      </w:r>
      <w:r>
        <w:rPr>
          <w:rFonts w:hint="eastAsia" w:eastAsia="仿宋_GB2312"/>
          <w:sz w:val="32"/>
          <w:szCs w:val="32"/>
        </w:rPr>
        <w:t>，</w:t>
      </w:r>
      <w:r>
        <w:rPr>
          <w:rFonts w:eastAsia="仿宋_GB2312"/>
          <w:sz w:val="32"/>
          <w:szCs w:val="32"/>
        </w:rPr>
        <w:t>拟订就业援助制度</w:t>
      </w:r>
      <w:r>
        <w:rPr>
          <w:rFonts w:hint="eastAsia" w:eastAsia="仿宋_GB2312"/>
          <w:sz w:val="32"/>
          <w:szCs w:val="32"/>
        </w:rPr>
        <w:t>，</w:t>
      </w:r>
      <w:r>
        <w:rPr>
          <w:rFonts w:eastAsia="仿宋_GB2312"/>
          <w:sz w:val="32"/>
          <w:szCs w:val="32"/>
        </w:rPr>
        <w:t>牵头拟订高校毕业生就业政策。</w:t>
      </w:r>
    </w:p>
    <w:p w14:paraId="26FEBDA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4</w:t>
      </w:r>
      <w:r>
        <w:rPr>
          <w:rFonts w:hint="eastAsia" w:eastAsia="仿宋_GB2312"/>
          <w:sz w:val="32"/>
          <w:szCs w:val="32"/>
          <w:lang w:eastAsia="zh-CN"/>
        </w:rPr>
        <w:t>.</w:t>
      </w:r>
      <w:r>
        <w:rPr>
          <w:rFonts w:eastAsia="仿宋_GB2312"/>
          <w:sz w:val="32"/>
          <w:szCs w:val="32"/>
        </w:rPr>
        <w:t>统筹推进建立全省覆盖城乡的多层次社会保障体系。拟订养老、失业、工伤等社会保险及其补充保险政策和标准。拟订养老保险省级统筹办法和全省统一的养老、失业、工伤保险关系转续办法。组织拟订养老、失业、工伤等社会保险及其补充保险基金管理和监督制度</w:t>
      </w:r>
      <w:r>
        <w:rPr>
          <w:rFonts w:hint="eastAsia" w:eastAsia="仿宋_GB2312"/>
          <w:sz w:val="32"/>
          <w:szCs w:val="32"/>
        </w:rPr>
        <w:t>，</w:t>
      </w:r>
      <w:r>
        <w:rPr>
          <w:rFonts w:eastAsia="仿宋_GB2312"/>
          <w:sz w:val="32"/>
          <w:szCs w:val="32"/>
        </w:rPr>
        <w:t>编制相关社会保险基金预决算草案</w:t>
      </w:r>
      <w:r>
        <w:rPr>
          <w:rFonts w:hint="eastAsia" w:eastAsia="仿宋_GB2312"/>
          <w:sz w:val="32"/>
          <w:szCs w:val="32"/>
        </w:rPr>
        <w:t>，</w:t>
      </w:r>
      <w:r>
        <w:rPr>
          <w:rFonts w:eastAsia="仿宋_GB2312"/>
          <w:sz w:val="32"/>
          <w:szCs w:val="32"/>
        </w:rPr>
        <w:t>参与拟订相关社会保障基金投资政策。会同有关部门实施全民参保计划并建立全省统一的社会保险公共服务平台。</w:t>
      </w:r>
    </w:p>
    <w:p w14:paraId="15BF9754">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5</w:t>
      </w:r>
      <w:r>
        <w:rPr>
          <w:rFonts w:hint="eastAsia" w:eastAsia="仿宋_GB2312"/>
          <w:sz w:val="32"/>
          <w:szCs w:val="32"/>
          <w:lang w:eastAsia="zh-CN"/>
        </w:rPr>
        <w:t>.</w:t>
      </w:r>
      <w:r>
        <w:rPr>
          <w:rFonts w:eastAsia="仿宋_GB2312"/>
          <w:sz w:val="32"/>
          <w:szCs w:val="32"/>
        </w:rPr>
        <w:t>负责全省就业、失业和相关社会保险基金预测预警和信息引导</w:t>
      </w:r>
      <w:r>
        <w:rPr>
          <w:rFonts w:hint="eastAsia" w:eastAsia="仿宋_GB2312"/>
          <w:sz w:val="32"/>
          <w:szCs w:val="32"/>
        </w:rPr>
        <w:t>，</w:t>
      </w:r>
      <w:r>
        <w:rPr>
          <w:rFonts w:eastAsia="仿宋_GB2312"/>
          <w:sz w:val="32"/>
          <w:szCs w:val="32"/>
        </w:rPr>
        <w:t>拟订应对预案</w:t>
      </w:r>
      <w:r>
        <w:rPr>
          <w:rFonts w:hint="eastAsia" w:eastAsia="仿宋_GB2312"/>
          <w:sz w:val="32"/>
          <w:szCs w:val="32"/>
        </w:rPr>
        <w:t>，</w:t>
      </w:r>
      <w:r>
        <w:rPr>
          <w:rFonts w:eastAsia="仿宋_GB2312"/>
          <w:sz w:val="32"/>
          <w:szCs w:val="32"/>
        </w:rPr>
        <w:t>实施预防、调节和控制</w:t>
      </w:r>
      <w:r>
        <w:rPr>
          <w:rFonts w:hint="eastAsia" w:eastAsia="仿宋_GB2312"/>
          <w:sz w:val="32"/>
          <w:szCs w:val="32"/>
        </w:rPr>
        <w:t>，</w:t>
      </w:r>
      <w:r>
        <w:rPr>
          <w:rFonts w:eastAsia="仿宋_GB2312"/>
          <w:sz w:val="32"/>
          <w:szCs w:val="32"/>
        </w:rPr>
        <w:t>保持就业形势稳定和相关社会保险基金总体收支平衡。</w:t>
      </w:r>
    </w:p>
    <w:p w14:paraId="721D2031">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6</w:t>
      </w:r>
      <w:r>
        <w:rPr>
          <w:rFonts w:hint="eastAsia" w:eastAsia="仿宋_GB2312"/>
          <w:sz w:val="32"/>
          <w:szCs w:val="32"/>
          <w:lang w:eastAsia="zh-CN"/>
        </w:rPr>
        <w:t>.</w:t>
      </w:r>
      <w:r>
        <w:rPr>
          <w:rFonts w:eastAsia="仿宋_GB2312"/>
          <w:sz w:val="32"/>
          <w:szCs w:val="32"/>
        </w:rPr>
        <w:t>统筹拟订全省劳动人事争议调解仲裁工作规划和劳动关系政策</w:t>
      </w:r>
      <w:r>
        <w:rPr>
          <w:rFonts w:hint="eastAsia" w:eastAsia="仿宋_GB2312"/>
          <w:sz w:val="32"/>
          <w:szCs w:val="32"/>
        </w:rPr>
        <w:t>，</w:t>
      </w:r>
      <w:r>
        <w:rPr>
          <w:rFonts w:eastAsia="仿宋_GB2312"/>
          <w:sz w:val="32"/>
          <w:szCs w:val="32"/>
        </w:rPr>
        <w:t>完善劳动关系协商协调机制</w:t>
      </w:r>
      <w:r>
        <w:rPr>
          <w:rFonts w:hint="eastAsia" w:eastAsia="仿宋_GB2312"/>
          <w:sz w:val="32"/>
          <w:szCs w:val="32"/>
        </w:rPr>
        <w:t>，</w:t>
      </w:r>
      <w:r>
        <w:rPr>
          <w:rFonts w:eastAsia="仿宋_GB2312"/>
          <w:sz w:val="32"/>
          <w:szCs w:val="32"/>
        </w:rPr>
        <w:t>拟订并监督实施职工工作时间、休息休假和假期制度</w:t>
      </w:r>
      <w:r>
        <w:rPr>
          <w:rFonts w:hint="eastAsia" w:eastAsia="仿宋_GB2312"/>
          <w:sz w:val="32"/>
          <w:szCs w:val="32"/>
        </w:rPr>
        <w:t>，</w:t>
      </w:r>
      <w:r>
        <w:rPr>
          <w:rFonts w:eastAsia="仿宋_GB2312"/>
          <w:sz w:val="32"/>
          <w:szCs w:val="32"/>
        </w:rPr>
        <w:t>拟订并监督实施消除非法使用童工政策和女工、未成年工特殊劳动保护政策。组织实施劳动保障监察</w:t>
      </w:r>
      <w:r>
        <w:rPr>
          <w:rFonts w:hint="eastAsia" w:eastAsia="仿宋_GB2312"/>
          <w:sz w:val="32"/>
          <w:szCs w:val="32"/>
        </w:rPr>
        <w:t>，</w:t>
      </w:r>
      <w:r>
        <w:rPr>
          <w:rFonts w:eastAsia="仿宋_GB2312"/>
          <w:sz w:val="32"/>
          <w:szCs w:val="32"/>
        </w:rPr>
        <w:t>协调劳动者维权工作</w:t>
      </w:r>
      <w:r>
        <w:rPr>
          <w:rFonts w:hint="eastAsia" w:eastAsia="仿宋_GB2312"/>
          <w:sz w:val="32"/>
          <w:szCs w:val="32"/>
        </w:rPr>
        <w:t>，</w:t>
      </w:r>
      <w:r>
        <w:rPr>
          <w:rFonts w:eastAsia="仿宋_GB2312"/>
          <w:sz w:val="32"/>
          <w:szCs w:val="32"/>
        </w:rPr>
        <w:t>依法查处重大案件。</w:t>
      </w:r>
    </w:p>
    <w:p w14:paraId="6268FE38">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7</w:t>
      </w:r>
      <w:r>
        <w:rPr>
          <w:rFonts w:hint="eastAsia" w:eastAsia="仿宋_GB2312"/>
          <w:sz w:val="32"/>
          <w:szCs w:val="32"/>
          <w:lang w:eastAsia="zh-CN"/>
        </w:rPr>
        <w:t>.</w:t>
      </w:r>
      <w:r>
        <w:rPr>
          <w:rFonts w:eastAsia="仿宋_GB2312"/>
          <w:sz w:val="32"/>
          <w:szCs w:val="32"/>
        </w:rPr>
        <w:t>牵头推进全省深化职称制度改革</w:t>
      </w:r>
      <w:r>
        <w:rPr>
          <w:rFonts w:hint="eastAsia" w:eastAsia="仿宋_GB2312"/>
          <w:sz w:val="32"/>
          <w:szCs w:val="32"/>
        </w:rPr>
        <w:t>，</w:t>
      </w:r>
      <w:r>
        <w:rPr>
          <w:rFonts w:eastAsia="仿宋_GB2312"/>
          <w:sz w:val="32"/>
          <w:szCs w:val="32"/>
        </w:rPr>
        <w:t>拟订并组织实施专业技术人员管理、继续教育和博士后管理等政策</w:t>
      </w:r>
      <w:r>
        <w:rPr>
          <w:rFonts w:hint="eastAsia" w:eastAsia="仿宋_GB2312"/>
          <w:sz w:val="32"/>
          <w:szCs w:val="32"/>
        </w:rPr>
        <w:t>，</w:t>
      </w:r>
      <w:r>
        <w:rPr>
          <w:rFonts w:eastAsia="仿宋_GB2312"/>
          <w:sz w:val="32"/>
          <w:szCs w:val="32"/>
        </w:rPr>
        <w:t>负责高层次专业技术人才选拔和培养工作</w:t>
      </w:r>
      <w:r>
        <w:rPr>
          <w:rFonts w:hint="eastAsia" w:eastAsia="仿宋_GB2312"/>
          <w:sz w:val="32"/>
          <w:szCs w:val="32"/>
        </w:rPr>
        <w:t>，</w:t>
      </w:r>
      <w:r>
        <w:rPr>
          <w:rFonts w:eastAsia="仿宋_GB2312"/>
          <w:sz w:val="32"/>
          <w:szCs w:val="32"/>
        </w:rPr>
        <w:t>拟订并落实吸引留学人员来湘</w:t>
      </w:r>
      <w:r>
        <w:rPr>
          <w:rFonts w:hint="eastAsia" w:eastAsia="仿宋_GB2312"/>
          <w:sz w:val="32"/>
          <w:szCs w:val="32"/>
        </w:rPr>
        <w:t>（回国）</w:t>
      </w:r>
      <w:r>
        <w:rPr>
          <w:rFonts w:eastAsia="仿宋_GB2312"/>
          <w:sz w:val="32"/>
          <w:szCs w:val="32"/>
        </w:rPr>
        <w:t>工作或定居政策。组织拟订技能人才培养、评价、使用和激励制度。完善职业资格制度</w:t>
      </w:r>
      <w:r>
        <w:rPr>
          <w:rFonts w:hint="eastAsia" w:eastAsia="仿宋_GB2312"/>
          <w:sz w:val="32"/>
          <w:szCs w:val="32"/>
        </w:rPr>
        <w:t>，</w:t>
      </w:r>
      <w:r>
        <w:rPr>
          <w:rFonts w:eastAsia="仿宋_GB2312"/>
          <w:sz w:val="32"/>
          <w:szCs w:val="32"/>
        </w:rPr>
        <w:t>健全职业技能多元化评价政策。</w:t>
      </w:r>
    </w:p>
    <w:p w14:paraId="70EDA57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8</w:t>
      </w:r>
      <w:r>
        <w:rPr>
          <w:rFonts w:hint="eastAsia" w:eastAsia="仿宋_GB2312"/>
          <w:sz w:val="32"/>
          <w:szCs w:val="32"/>
          <w:lang w:eastAsia="zh-CN"/>
        </w:rPr>
        <w:t>.</w:t>
      </w:r>
      <w:r>
        <w:rPr>
          <w:rFonts w:eastAsia="仿宋_GB2312"/>
          <w:sz w:val="32"/>
          <w:szCs w:val="32"/>
        </w:rPr>
        <w:t>会同有关部门指导全省事业单位人事制度改革</w:t>
      </w:r>
      <w:r>
        <w:rPr>
          <w:rFonts w:hint="eastAsia" w:eastAsia="仿宋_GB2312"/>
          <w:sz w:val="32"/>
          <w:szCs w:val="32"/>
        </w:rPr>
        <w:t>，</w:t>
      </w:r>
      <w:r>
        <w:rPr>
          <w:rFonts w:eastAsia="仿宋_GB2312"/>
          <w:sz w:val="32"/>
          <w:szCs w:val="32"/>
        </w:rPr>
        <w:t>按照管理权限负责规范事业单位岗位设置、公开招聘、聘用合同等人事综合管理工作</w:t>
      </w:r>
      <w:r>
        <w:rPr>
          <w:rFonts w:hint="eastAsia" w:eastAsia="仿宋_GB2312"/>
          <w:sz w:val="32"/>
          <w:szCs w:val="32"/>
        </w:rPr>
        <w:t>，</w:t>
      </w:r>
      <w:r>
        <w:rPr>
          <w:rFonts w:eastAsia="仿宋_GB2312"/>
          <w:sz w:val="32"/>
          <w:szCs w:val="32"/>
        </w:rPr>
        <w:t>拟订事业单位工作人员和机关工勤人员管理政策。</w:t>
      </w:r>
    </w:p>
    <w:p w14:paraId="67F1175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9</w:t>
      </w:r>
      <w:r>
        <w:rPr>
          <w:rFonts w:hint="eastAsia" w:eastAsia="仿宋_GB2312"/>
          <w:sz w:val="32"/>
          <w:szCs w:val="32"/>
          <w:lang w:eastAsia="zh-CN"/>
        </w:rPr>
        <w:t>.</w:t>
      </w:r>
      <w:r>
        <w:rPr>
          <w:rFonts w:eastAsia="仿宋_GB2312"/>
          <w:sz w:val="32"/>
          <w:szCs w:val="32"/>
        </w:rPr>
        <w:t>会同有关部门拟订全省事业单位人员工资收入分配政策并组织实施</w:t>
      </w:r>
      <w:r>
        <w:rPr>
          <w:rFonts w:hint="eastAsia" w:eastAsia="仿宋_GB2312"/>
          <w:sz w:val="32"/>
          <w:szCs w:val="32"/>
        </w:rPr>
        <w:t>，</w:t>
      </w:r>
      <w:r>
        <w:rPr>
          <w:rFonts w:eastAsia="仿宋_GB2312"/>
          <w:sz w:val="32"/>
          <w:szCs w:val="32"/>
        </w:rPr>
        <w:t>建立全省企事业单位人员工资决定、正常增长和支付保障机制。拟订全省企事业单位人员福利和离退休政策并组织实施。</w:t>
      </w:r>
    </w:p>
    <w:p w14:paraId="2718B062">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10</w:t>
      </w:r>
      <w:r>
        <w:rPr>
          <w:rFonts w:hint="eastAsia" w:eastAsia="仿宋_GB2312"/>
          <w:sz w:val="32"/>
          <w:szCs w:val="32"/>
          <w:lang w:eastAsia="zh-CN"/>
        </w:rPr>
        <w:t>.</w:t>
      </w:r>
      <w:r>
        <w:rPr>
          <w:rFonts w:eastAsia="仿宋_GB2312"/>
          <w:sz w:val="32"/>
          <w:szCs w:val="32"/>
        </w:rPr>
        <w:t>会同有关部门拟订全省农民工工作的综合性政策和规划</w:t>
      </w:r>
      <w:r>
        <w:rPr>
          <w:rFonts w:hint="eastAsia" w:eastAsia="仿宋_GB2312"/>
          <w:sz w:val="32"/>
          <w:szCs w:val="32"/>
        </w:rPr>
        <w:t>，</w:t>
      </w:r>
      <w:r>
        <w:rPr>
          <w:rFonts w:eastAsia="仿宋_GB2312"/>
          <w:sz w:val="32"/>
          <w:szCs w:val="32"/>
        </w:rPr>
        <w:t>推动相关政策落实</w:t>
      </w:r>
      <w:r>
        <w:rPr>
          <w:rFonts w:hint="eastAsia" w:eastAsia="仿宋_GB2312"/>
          <w:sz w:val="32"/>
          <w:szCs w:val="32"/>
        </w:rPr>
        <w:t>，</w:t>
      </w:r>
      <w:r>
        <w:rPr>
          <w:rFonts w:eastAsia="仿宋_GB2312"/>
          <w:sz w:val="32"/>
          <w:szCs w:val="32"/>
        </w:rPr>
        <w:t>协调解决重点难点问题</w:t>
      </w:r>
      <w:r>
        <w:rPr>
          <w:rFonts w:hint="eastAsia" w:eastAsia="仿宋_GB2312"/>
          <w:sz w:val="32"/>
          <w:szCs w:val="32"/>
        </w:rPr>
        <w:t>，</w:t>
      </w:r>
      <w:r>
        <w:rPr>
          <w:rFonts w:eastAsia="仿宋_GB2312"/>
          <w:sz w:val="32"/>
          <w:szCs w:val="32"/>
        </w:rPr>
        <w:t>维护农民工合法权益。</w:t>
      </w:r>
    </w:p>
    <w:p w14:paraId="79336249">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11</w:t>
      </w:r>
      <w:r>
        <w:rPr>
          <w:rFonts w:hint="eastAsia" w:eastAsia="仿宋_GB2312"/>
          <w:sz w:val="32"/>
          <w:szCs w:val="32"/>
          <w:lang w:eastAsia="zh-CN"/>
        </w:rPr>
        <w:t>.</w:t>
      </w:r>
      <w:r>
        <w:rPr>
          <w:rFonts w:eastAsia="仿宋_GB2312"/>
          <w:sz w:val="32"/>
          <w:szCs w:val="32"/>
        </w:rPr>
        <w:t>承担有关表彰奖励和为民办实事统筹协调工作。联合有关部门组织实施全省表彰工作</w:t>
      </w:r>
      <w:r>
        <w:rPr>
          <w:rFonts w:hint="eastAsia" w:eastAsia="仿宋_GB2312"/>
          <w:sz w:val="32"/>
          <w:szCs w:val="32"/>
        </w:rPr>
        <w:t>，</w:t>
      </w:r>
      <w:r>
        <w:rPr>
          <w:rFonts w:eastAsia="仿宋_GB2312"/>
          <w:sz w:val="32"/>
          <w:szCs w:val="32"/>
        </w:rPr>
        <w:t>研究提出对重大先进典型开展及时性表彰的建议</w:t>
      </w:r>
      <w:r>
        <w:rPr>
          <w:rFonts w:hint="eastAsia" w:eastAsia="仿宋_GB2312"/>
          <w:sz w:val="32"/>
          <w:szCs w:val="32"/>
        </w:rPr>
        <w:t>，</w:t>
      </w:r>
      <w:r>
        <w:rPr>
          <w:rFonts w:eastAsia="仿宋_GB2312"/>
          <w:sz w:val="32"/>
          <w:szCs w:val="32"/>
        </w:rPr>
        <w:t>承担表彰奖励获得者待遇落实和管理服务工作。承担为民办实事统筹协调工作。</w:t>
      </w:r>
    </w:p>
    <w:p w14:paraId="434E7DA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12</w:t>
      </w:r>
      <w:r>
        <w:rPr>
          <w:rFonts w:hint="eastAsia" w:eastAsia="仿宋_GB2312"/>
          <w:sz w:val="32"/>
          <w:szCs w:val="32"/>
          <w:lang w:eastAsia="zh-CN"/>
        </w:rPr>
        <w:t>.</w:t>
      </w:r>
      <w:r>
        <w:rPr>
          <w:rFonts w:eastAsia="仿宋_GB2312"/>
          <w:sz w:val="32"/>
          <w:szCs w:val="32"/>
        </w:rPr>
        <w:t>完成省委、省政府交办的其他任务。</w:t>
      </w:r>
    </w:p>
    <w:p w14:paraId="35388375">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13</w:t>
      </w:r>
      <w:r>
        <w:rPr>
          <w:rFonts w:hint="eastAsia" w:eastAsia="仿宋_GB2312"/>
          <w:sz w:val="32"/>
          <w:szCs w:val="32"/>
          <w:lang w:eastAsia="zh-CN"/>
        </w:rPr>
        <w:t>.</w:t>
      </w:r>
      <w:r>
        <w:rPr>
          <w:rFonts w:eastAsia="仿宋_GB2312"/>
          <w:sz w:val="32"/>
          <w:szCs w:val="32"/>
        </w:rPr>
        <w:t>职能转变。深入推进简政放权、放管结合、优化服务改革，进一步减少行政审批事项，规范和优化对外办理事项，减少职业资格许可和认定等审批事项，实行国家职业资格目录清单管理，加强事中事后监管，创新就业和社会保障等公共服务方式，加强信息共享，提高公共服务水平。 </w:t>
      </w:r>
    </w:p>
    <w:p w14:paraId="5417F406">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rPr>
      </w:pPr>
      <w:r>
        <w:rPr>
          <w:rFonts w:hint="eastAsia" w:eastAsia="仿宋_GB2312"/>
          <w:sz w:val="32"/>
          <w:szCs w:val="32"/>
        </w:rPr>
        <w:t>14</w:t>
      </w:r>
      <w:r>
        <w:rPr>
          <w:rFonts w:hint="eastAsia" w:eastAsia="仿宋_GB2312"/>
          <w:sz w:val="32"/>
          <w:szCs w:val="32"/>
          <w:lang w:eastAsia="zh-CN"/>
        </w:rPr>
        <w:t>.</w:t>
      </w:r>
      <w:r>
        <w:rPr>
          <w:rFonts w:eastAsia="仿宋_GB2312"/>
          <w:sz w:val="32"/>
          <w:szCs w:val="32"/>
        </w:rPr>
        <w:t>有关职责分工。与省教育厅的有关职责分工。高校毕业生就业政策由省人力资源社会保障厅牵头，会同省教育厅等部门拟订。高校毕业生离校前的就业指导和服务工作，由省教育厅负责；高校毕业生离校后的就业指导和服务工作，由省人力资源社会保障厅负责。</w:t>
      </w:r>
    </w:p>
    <w:p w14:paraId="35F95FD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eastAsia="楷体_GB2312"/>
          <w:b/>
          <w:snapToGrid w:val="0"/>
          <w:kern w:val="0"/>
          <w:sz w:val="32"/>
          <w:szCs w:val="32"/>
        </w:rPr>
      </w:pPr>
      <w:bookmarkStart w:id="6" w:name="_Toc167115803"/>
      <w:bookmarkStart w:id="7" w:name="_Toc195797057"/>
      <w:r>
        <w:rPr>
          <w:rFonts w:eastAsia="楷体_GB2312"/>
          <w:b/>
          <w:snapToGrid w:val="0"/>
          <w:kern w:val="0"/>
          <w:sz w:val="32"/>
          <w:szCs w:val="32"/>
        </w:rPr>
        <w:t>（二）机构情况</w:t>
      </w:r>
      <w:bookmarkEnd w:id="6"/>
      <w:bookmarkEnd w:id="7"/>
    </w:p>
    <w:p w14:paraId="3ADDECBB">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kern w:val="0"/>
          <w:sz w:val="32"/>
          <w:szCs w:val="32"/>
        </w:rPr>
      </w:pPr>
      <w:r>
        <w:rPr>
          <w:rFonts w:eastAsia="仿宋_GB2312"/>
          <w:kern w:val="0"/>
          <w:sz w:val="32"/>
          <w:szCs w:val="32"/>
        </w:rPr>
        <w:t>我厅根据机构编制可划分为：</w:t>
      </w:r>
    </w:p>
    <w:p w14:paraId="6ECF9BE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kern w:val="0"/>
          <w:sz w:val="32"/>
          <w:szCs w:val="32"/>
          <w:highlight w:val="yellow"/>
        </w:rPr>
      </w:pPr>
      <w:r>
        <w:rPr>
          <w:rFonts w:eastAsia="仿宋_GB2312"/>
          <w:kern w:val="0"/>
          <w:sz w:val="32"/>
          <w:szCs w:val="32"/>
        </w:rPr>
        <w:t>厅机关内设</w:t>
      </w:r>
      <w:r>
        <w:rPr>
          <w:rFonts w:hint="eastAsia" w:ascii="Times New Roman" w:hAnsi="Times New Roman" w:eastAsia="仿宋_GB2312" w:cs="Times New Roman"/>
          <w:bCs/>
          <w:snapToGrid w:val="0"/>
          <w:kern w:val="0"/>
          <w:sz w:val="32"/>
          <w:szCs w:val="32"/>
          <w:highlight w:val="none"/>
        </w:rPr>
        <w:t>2</w:t>
      </w:r>
      <w:r>
        <w:rPr>
          <w:rFonts w:hint="eastAsia" w:ascii="Times New Roman" w:hAnsi="Times New Roman" w:eastAsia="仿宋_GB2312" w:cs="Times New Roman"/>
          <w:bCs/>
          <w:snapToGrid w:val="0"/>
          <w:kern w:val="0"/>
          <w:sz w:val="32"/>
          <w:szCs w:val="32"/>
          <w:highlight w:val="none"/>
          <w:lang w:val="en-US" w:eastAsia="zh-CN"/>
        </w:rPr>
        <w:t>5</w:t>
      </w:r>
      <w:r>
        <w:rPr>
          <w:rFonts w:hint="eastAsia" w:ascii="Times New Roman" w:hAnsi="Times New Roman" w:eastAsia="仿宋_GB2312" w:cs="Times New Roman"/>
          <w:bCs/>
          <w:snapToGrid w:val="0"/>
          <w:sz w:val="32"/>
          <w:szCs w:val="32"/>
          <w:highlight w:val="none"/>
        </w:rPr>
        <w:t>个行政处室（厅办公室、法规处、规划财务处、就业促进与失业保险处、人力资源流动管理处、职业能力建设处、专业技术人员管理处、事业单位人事管理处、劳动关系处、工资福利处、职工养老保险处、工伤保险处、城乡居民养老保险处、社会保险基金监管局、调解仲裁管理处、劳动保障监察局、</w:t>
      </w:r>
      <w:r>
        <w:rPr>
          <w:rFonts w:hint="eastAsia" w:eastAsia="仿宋_GB2312" w:cs="Times New Roman"/>
          <w:bCs/>
          <w:snapToGrid w:val="0"/>
          <w:sz w:val="32"/>
          <w:szCs w:val="32"/>
          <w:highlight w:val="none"/>
          <w:lang w:val="en-US" w:eastAsia="zh-CN"/>
        </w:rPr>
        <w:t>农民工工作</w:t>
      </w:r>
      <w:r>
        <w:rPr>
          <w:rFonts w:hint="eastAsia" w:ascii="Times New Roman" w:hAnsi="Times New Roman" w:eastAsia="仿宋_GB2312" w:cs="Times New Roman"/>
          <w:bCs/>
          <w:snapToGrid w:val="0"/>
          <w:sz w:val="32"/>
          <w:szCs w:val="32"/>
          <w:highlight w:val="none"/>
        </w:rPr>
        <w:t>处、人事教育处、机关党委、机关纪委、离退处、专家服务中心、职业技能鉴定中心、统计信息中心、后勤服务中心），</w:t>
      </w:r>
      <w:r>
        <w:rPr>
          <w:rFonts w:eastAsia="仿宋_GB2312"/>
          <w:kern w:val="0"/>
          <w:sz w:val="32"/>
          <w:szCs w:val="32"/>
          <w:highlight w:val="none"/>
        </w:rPr>
        <w:t>厅属处级事业单位7个，与省军区共同管理处级事业单位1个（</w:t>
      </w:r>
      <w:r>
        <w:rPr>
          <w:rFonts w:hint="eastAsia" w:eastAsia="仿宋_GB2312"/>
          <w:kern w:val="0"/>
          <w:sz w:val="32"/>
          <w:szCs w:val="32"/>
          <w:highlight w:val="none"/>
          <w:lang w:val="en-US" w:eastAsia="zh-CN"/>
        </w:rPr>
        <w:t>湖南</w:t>
      </w:r>
      <w:r>
        <w:rPr>
          <w:rFonts w:eastAsia="仿宋_GB2312"/>
          <w:kern w:val="0"/>
          <w:sz w:val="32"/>
          <w:szCs w:val="32"/>
          <w:highlight w:val="none"/>
        </w:rPr>
        <w:t>省人民武装学校）。</w:t>
      </w:r>
    </w:p>
    <w:p w14:paraId="2D9D8C58">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kern w:val="0"/>
          <w:sz w:val="32"/>
          <w:szCs w:val="32"/>
        </w:rPr>
      </w:pPr>
      <w:r>
        <w:rPr>
          <w:rFonts w:eastAsia="仿宋_GB2312"/>
          <w:kern w:val="0"/>
          <w:sz w:val="32"/>
          <w:szCs w:val="32"/>
        </w:rPr>
        <w:t>根据部门预算口径可划分为8个财务独立核算单位：</w:t>
      </w:r>
    </w:p>
    <w:p w14:paraId="101DDD1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kern w:val="0"/>
          <w:sz w:val="32"/>
          <w:szCs w:val="32"/>
        </w:rPr>
      </w:pPr>
      <w:r>
        <w:rPr>
          <w:rFonts w:eastAsia="仿宋_GB2312"/>
          <w:kern w:val="0"/>
          <w:sz w:val="32"/>
          <w:szCs w:val="32"/>
        </w:rPr>
        <w:t>湖南省人力资源和社会保障厅厅机关（简称“厅机关”）、湖南省社会保险服务中心（简称“省社保中心”）、湖南省城乡居民社会养老保险管理服务中心（简称“省城乡居保中心”）、湖南省机关事业单位养老保险管理服务中心（简称“省机关事保中心”）</w:t>
      </w:r>
      <w:r>
        <w:rPr>
          <w:rFonts w:hint="eastAsia" w:eastAsia="仿宋_GB2312"/>
          <w:kern w:val="0"/>
          <w:sz w:val="32"/>
          <w:szCs w:val="32"/>
        </w:rPr>
        <w:t>、</w:t>
      </w:r>
      <w:r>
        <w:rPr>
          <w:rFonts w:eastAsia="仿宋_GB2312"/>
          <w:kern w:val="0"/>
          <w:sz w:val="32"/>
          <w:szCs w:val="32"/>
        </w:rPr>
        <w:t>湖南省人力资源服务中心（简称“人力资源中心”）、湖南省就业服务中心（简称“省就业中心”）、湖南省人民武装学校（简称“省人武学校”）、湖南省人事考试院（简称“省人事考试院”）。</w:t>
      </w:r>
    </w:p>
    <w:p w14:paraId="1880D416">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eastAsia="楷体_GB2312"/>
          <w:b/>
          <w:snapToGrid w:val="0"/>
          <w:kern w:val="0"/>
          <w:sz w:val="32"/>
          <w:szCs w:val="32"/>
        </w:rPr>
      </w:pPr>
      <w:bookmarkStart w:id="8" w:name="_Toc167115804"/>
      <w:bookmarkStart w:id="9" w:name="_Toc195797058"/>
      <w:r>
        <w:rPr>
          <w:rFonts w:eastAsia="楷体_GB2312"/>
          <w:b/>
          <w:snapToGrid w:val="0"/>
          <w:kern w:val="0"/>
          <w:sz w:val="32"/>
          <w:szCs w:val="32"/>
        </w:rPr>
        <w:t>（三）人员情况</w:t>
      </w:r>
      <w:bookmarkEnd w:id="8"/>
      <w:bookmarkEnd w:id="9"/>
    </w:p>
    <w:p w14:paraId="46D32677">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z w:val="32"/>
          <w:szCs w:val="32"/>
          <w:highlight w:val="none"/>
        </w:rPr>
      </w:pPr>
      <w:r>
        <w:rPr>
          <w:rFonts w:hint="eastAsia" w:eastAsia="仿宋_GB2312"/>
          <w:sz w:val="32"/>
          <w:szCs w:val="32"/>
          <w:highlight w:val="none"/>
        </w:rPr>
        <w:t>我厅现有人员编制数37</w:t>
      </w:r>
      <w:r>
        <w:rPr>
          <w:rFonts w:hint="eastAsia" w:eastAsia="仿宋_GB2312"/>
          <w:sz w:val="32"/>
          <w:szCs w:val="32"/>
          <w:highlight w:val="none"/>
          <w:lang w:val="en-US" w:eastAsia="zh-CN"/>
        </w:rPr>
        <w:t>1</w:t>
      </w:r>
      <w:r>
        <w:rPr>
          <w:rFonts w:hint="eastAsia" w:eastAsia="仿宋_GB2312"/>
          <w:sz w:val="32"/>
          <w:szCs w:val="32"/>
          <w:highlight w:val="none"/>
        </w:rPr>
        <w:t>名，其中：行政编制122名、参照公务员管理事业编及非参公事业编249名；截至2025年12月31日，实有在职人数347人，其中：行政编制人员124</w:t>
      </w:r>
      <w:r>
        <w:rPr>
          <w:rFonts w:hint="eastAsia" w:eastAsia="仿宋_GB2312"/>
          <w:sz w:val="32"/>
          <w:szCs w:val="32"/>
          <w:highlight w:val="none"/>
          <w:lang w:val="en-US" w:eastAsia="zh-CN"/>
        </w:rPr>
        <w:t>人</w:t>
      </w:r>
      <w:r>
        <w:rPr>
          <w:rFonts w:hint="eastAsia" w:eastAsia="仿宋_GB2312"/>
          <w:sz w:val="32"/>
          <w:szCs w:val="32"/>
          <w:highlight w:val="none"/>
        </w:rPr>
        <w:t>、参照公务员管理事业编及事业管理人员和专业技术人员21</w:t>
      </w:r>
      <w:r>
        <w:rPr>
          <w:rFonts w:hint="eastAsia" w:eastAsia="仿宋_GB2312"/>
          <w:sz w:val="32"/>
          <w:szCs w:val="32"/>
          <w:highlight w:val="none"/>
          <w:lang w:val="en-US" w:eastAsia="zh-CN"/>
        </w:rPr>
        <w:t>9</w:t>
      </w:r>
      <w:r>
        <w:rPr>
          <w:rFonts w:hint="eastAsia" w:eastAsia="仿宋_GB2312"/>
          <w:sz w:val="32"/>
          <w:szCs w:val="32"/>
          <w:highlight w:val="none"/>
        </w:rPr>
        <w:t>人、机关和事业工人5人。</w:t>
      </w:r>
      <w:r>
        <w:rPr>
          <w:rFonts w:eastAsia="仿宋_GB2312"/>
          <w:sz w:val="32"/>
          <w:szCs w:val="32"/>
          <w:highlight w:val="none"/>
        </w:rPr>
        <w:t>在职人员控制率</w:t>
      </w:r>
      <w:r>
        <w:rPr>
          <w:rFonts w:hint="eastAsia" w:eastAsia="仿宋_GB2312"/>
          <w:sz w:val="32"/>
          <w:szCs w:val="32"/>
          <w:highlight w:val="none"/>
        </w:rPr>
        <w:t>9</w:t>
      </w:r>
      <w:r>
        <w:rPr>
          <w:rFonts w:hint="eastAsia" w:eastAsia="仿宋_GB2312"/>
          <w:sz w:val="32"/>
          <w:szCs w:val="32"/>
          <w:highlight w:val="none"/>
          <w:lang w:val="en-US" w:eastAsia="zh-CN"/>
        </w:rPr>
        <w:t>3.28</w:t>
      </w:r>
      <w:r>
        <w:rPr>
          <w:rFonts w:eastAsia="仿宋_GB2312"/>
          <w:sz w:val="32"/>
          <w:szCs w:val="32"/>
          <w:highlight w:val="none"/>
        </w:rPr>
        <w:t>%。</w:t>
      </w:r>
    </w:p>
    <w:p w14:paraId="58B19EE4">
      <w:pPr>
        <w:keepNext w:val="0"/>
        <w:keepLines w:val="0"/>
        <w:pageBreakBefore w:val="0"/>
        <w:widowControl w:val="0"/>
        <w:numPr>
          <w:ilvl w:val="0"/>
          <w:numId w:val="1"/>
        </w:numPr>
        <w:kinsoku/>
        <w:wordWrap/>
        <w:overflowPunct/>
        <w:topLinePunct w:val="0"/>
        <w:autoSpaceDE/>
        <w:autoSpaceDN/>
        <w:bidi w:val="0"/>
        <w:adjustRightInd/>
        <w:snapToGrid/>
        <w:spacing w:line="592" w:lineRule="exact"/>
        <w:ind w:firstLine="640" w:firstLineChars="200"/>
        <w:textAlignment w:val="auto"/>
        <w:outlineLvl w:val="0"/>
        <w:rPr>
          <w:rFonts w:eastAsia="黑体"/>
          <w:sz w:val="32"/>
          <w:szCs w:val="32"/>
        </w:rPr>
      </w:pPr>
      <w:bookmarkStart w:id="10" w:name="_Toc195797059"/>
      <w:bookmarkStart w:id="11" w:name="_Toc136174923"/>
      <w:bookmarkStart w:id="12" w:name="_Toc167115805"/>
      <w:r>
        <w:rPr>
          <w:rFonts w:eastAsia="黑体"/>
          <w:sz w:val="32"/>
          <w:szCs w:val="32"/>
        </w:rPr>
        <w:t>绩效评价组织情况</w:t>
      </w:r>
      <w:bookmarkEnd w:id="10"/>
      <w:bookmarkEnd w:id="11"/>
      <w:bookmarkEnd w:id="12"/>
    </w:p>
    <w:p w14:paraId="3129687F">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hint="eastAsia" w:eastAsia="楷体_GB2312"/>
          <w:b/>
          <w:snapToGrid w:val="0"/>
          <w:kern w:val="0"/>
          <w:sz w:val="32"/>
          <w:szCs w:val="32"/>
          <w:lang w:val="en-US"/>
        </w:rPr>
      </w:pPr>
      <w:bookmarkStart w:id="13" w:name="_Toc195797060"/>
      <w:bookmarkStart w:id="14" w:name="_Toc167115806"/>
      <w:r>
        <w:rPr>
          <w:rFonts w:hint="eastAsia" w:eastAsia="楷体_GB2312"/>
          <w:b/>
          <w:snapToGrid w:val="0"/>
          <w:kern w:val="0"/>
          <w:sz w:val="32"/>
          <w:szCs w:val="32"/>
        </w:rPr>
        <w:t>（一）</w:t>
      </w:r>
      <w:r>
        <w:rPr>
          <w:rFonts w:eastAsia="楷体_GB2312"/>
          <w:b/>
          <w:snapToGrid w:val="0"/>
          <w:kern w:val="0"/>
          <w:sz w:val="32"/>
          <w:szCs w:val="32"/>
        </w:rPr>
        <w:t>加强组织领导，</w:t>
      </w:r>
      <w:bookmarkEnd w:id="13"/>
      <w:bookmarkEnd w:id="14"/>
      <w:r>
        <w:rPr>
          <w:rFonts w:hint="eastAsia" w:eastAsia="楷体_GB2312"/>
          <w:b/>
          <w:snapToGrid w:val="0"/>
          <w:kern w:val="0"/>
          <w:sz w:val="32"/>
          <w:szCs w:val="32"/>
          <w:lang w:val="en-US"/>
        </w:rPr>
        <w:t>完善评价指标</w:t>
      </w:r>
    </w:p>
    <w:p w14:paraId="1C9A978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eastAsia="仿宋_GB2312"/>
          <w:sz w:val="32"/>
          <w:szCs w:val="32"/>
          <w:lang w:eastAsia="zh-CN"/>
        </w:rPr>
      </w:pPr>
      <w:r>
        <w:rPr>
          <w:rFonts w:hint="eastAsia" w:eastAsia="仿宋_GB2312"/>
          <w:sz w:val="32"/>
          <w:szCs w:val="32"/>
          <w:lang w:val="en-US" w:eastAsia="zh-CN"/>
        </w:rPr>
        <w:t>2026年4</w:t>
      </w:r>
      <w:r>
        <w:rPr>
          <w:rFonts w:eastAsia="仿宋_GB2312"/>
          <w:sz w:val="32"/>
          <w:szCs w:val="32"/>
        </w:rPr>
        <w:t>月</w:t>
      </w:r>
      <w:r>
        <w:rPr>
          <w:rFonts w:hint="eastAsia" w:eastAsia="仿宋_GB2312"/>
          <w:sz w:val="32"/>
          <w:szCs w:val="32"/>
        </w:rPr>
        <w:t>2</w:t>
      </w:r>
      <w:r>
        <w:rPr>
          <w:rFonts w:hint="eastAsia" w:eastAsia="仿宋_GB2312"/>
          <w:sz w:val="32"/>
          <w:szCs w:val="32"/>
          <w:lang w:val="en-US" w:eastAsia="zh-CN"/>
        </w:rPr>
        <w:t>9</w:t>
      </w:r>
      <w:r>
        <w:rPr>
          <w:rFonts w:eastAsia="仿宋_GB2312"/>
          <w:sz w:val="32"/>
          <w:szCs w:val="32"/>
        </w:rPr>
        <w:t>日，我厅印发《关于做好我厅202</w:t>
      </w:r>
      <w:r>
        <w:rPr>
          <w:rFonts w:hint="eastAsia" w:eastAsia="仿宋_GB2312"/>
          <w:sz w:val="32"/>
          <w:szCs w:val="32"/>
          <w:lang w:val="en-US" w:eastAsia="zh-CN"/>
        </w:rPr>
        <w:t>5</w:t>
      </w:r>
      <w:r>
        <w:rPr>
          <w:rFonts w:eastAsia="仿宋_GB2312"/>
          <w:sz w:val="32"/>
          <w:szCs w:val="32"/>
        </w:rPr>
        <w:t>年度部门整体支出绩效自评工作的通知》，明确了绩效自评范围</w:t>
      </w:r>
      <w:r>
        <w:rPr>
          <w:rFonts w:hint="eastAsia" w:eastAsia="仿宋_GB2312"/>
          <w:sz w:val="32"/>
          <w:szCs w:val="32"/>
          <w:lang w:eastAsia="zh-CN"/>
        </w:rPr>
        <w:t>、</w:t>
      </w:r>
      <w:r>
        <w:rPr>
          <w:rFonts w:eastAsia="仿宋_GB2312"/>
          <w:sz w:val="32"/>
          <w:szCs w:val="32"/>
        </w:rPr>
        <w:t>主要内容、工作安排、实施步骤以及有关要求。成立了绩效评价工作小组，全面负责202</w:t>
      </w:r>
      <w:r>
        <w:rPr>
          <w:rFonts w:hint="eastAsia" w:eastAsia="仿宋_GB2312"/>
          <w:sz w:val="32"/>
          <w:szCs w:val="32"/>
          <w:lang w:val="en-US" w:eastAsia="zh-CN"/>
        </w:rPr>
        <w:t>5</w:t>
      </w:r>
      <w:r>
        <w:rPr>
          <w:rFonts w:eastAsia="仿宋_GB2312"/>
          <w:sz w:val="32"/>
          <w:szCs w:val="32"/>
        </w:rPr>
        <w:t>年绩效评价工作的组织实施，厅绩效评价工作小组办公室设在厅规划财务处。厅直</w:t>
      </w:r>
      <w:r>
        <w:rPr>
          <w:rFonts w:hint="eastAsia" w:eastAsia="仿宋_GB2312"/>
          <w:sz w:val="32"/>
          <w:szCs w:val="32"/>
          <w:lang w:val="en-US" w:eastAsia="zh-CN"/>
        </w:rPr>
        <w:t>属</w:t>
      </w:r>
      <w:r>
        <w:rPr>
          <w:rFonts w:eastAsia="仿宋_GB2312"/>
          <w:sz w:val="32"/>
          <w:szCs w:val="32"/>
        </w:rPr>
        <w:t>单位为本单位绩效自评的组织主体，负责本单位的绩效自评组织工作。</w:t>
      </w:r>
      <w:r>
        <w:rPr>
          <w:rFonts w:hint="eastAsia" w:eastAsia="仿宋_GB2312"/>
          <w:sz w:val="32"/>
          <w:szCs w:val="32"/>
        </w:rPr>
        <w:t>结合本单位实际制订了自评方案，完善了评价指标体系</w:t>
      </w:r>
      <w:r>
        <w:rPr>
          <w:rFonts w:hint="eastAsia" w:eastAsia="仿宋_GB2312"/>
          <w:sz w:val="32"/>
          <w:szCs w:val="32"/>
          <w:lang w:eastAsia="zh-CN"/>
        </w:rPr>
        <w:t>。</w:t>
      </w:r>
    </w:p>
    <w:p w14:paraId="71B48D4E">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eastAsia="楷体_GB2312"/>
          <w:b/>
          <w:snapToGrid w:val="0"/>
          <w:kern w:val="0"/>
          <w:sz w:val="32"/>
          <w:szCs w:val="32"/>
        </w:rPr>
      </w:pPr>
      <w:bookmarkStart w:id="15" w:name="_Toc167115807"/>
      <w:bookmarkStart w:id="16" w:name="_Toc195797061"/>
      <w:r>
        <w:rPr>
          <w:rFonts w:hint="eastAsia" w:eastAsia="楷体_GB2312"/>
          <w:b/>
          <w:snapToGrid w:val="0"/>
          <w:kern w:val="0"/>
          <w:sz w:val="32"/>
          <w:szCs w:val="32"/>
        </w:rPr>
        <w:t>（二）</w:t>
      </w:r>
      <w:r>
        <w:rPr>
          <w:rFonts w:hint="eastAsia" w:eastAsia="楷体_GB2312"/>
          <w:b/>
          <w:snapToGrid w:val="0"/>
          <w:kern w:val="0"/>
          <w:sz w:val="32"/>
          <w:szCs w:val="32"/>
          <w:lang w:val="en-US"/>
        </w:rPr>
        <w:t>布置单位自评</w:t>
      </w:r>
      <w:r>
        <w:rPr>
          <w:rFonts w:hint="eastAsia" w:eastAsia="楷体_GB2312"/>
          <w:b/>
          <w:snapToGrid w:val="0"/>
          <w:kern w:val="0"/>
          <w:sz w:val="32"/>
          <w:szCs w:val="32"/>
          <w:lang w:val="en-US" w:eastAsia="zh-CN"/>
        </w:rPr>
        <w:t>，</w:t>
      </w:r>
      <w:r>
        <w:rPr>
          <w:rFonts w:eastAsia="楷体_GB2312"/>
          <w:b/>
          <w:snapToGrid w:val="0"/>
          <w:kern w:val="0"/>
          <w:sz w:val="32"/>
          <w:szCs w:val="32"/>
        </w:rPr>
        <w:t>积极推动落实</w:t>
      </w:r>
      <w:bookmarkEnd w:id="15"/>
      <w:bookmarkEnd w:id="16"/>
    </w:p>
    <w:p w14:paraId="369DD310">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kern w:val="0"/>
          <w:sz w:val="32"/>
          <w:szCs w:val="32"/>
        </w:rPr>
      </w:pPr>
      <w:r>
        <w:rPr>
          <w:rFonts w:hint="eastAsia" w:eastAsia="仿宋_GB2312"/>
          <w:sz w:val="32"/>
          <w:szCs w:val="32"/>
        </w:rPr>
        <w:t>自评工作小组本着客观、公正、科学的原则，对照部门整体支出绩效评价指标表，通过基础数据、原始资料、会计报表、业务报表审核自查，对组织机构、人员编制、预算管理、预算执行情况等进行了全面绩效自评</w:t>
      </w:r>
      <w:r>
        <w:rPr>
          <w:rFonts w:hint="eastAsia" w:eastAsia="仿宋_GB2312"/>
          <w:sz w:val="32"/>
          <w:szCs w:val="32"/>
          <w:lang w:eastAsia="zh-CN"/>
        </w:rPr>
        <w:t>。</w:t>
      </w:r>
      <w:r>
        <w:rPr>
          <w:rFonts w:eastAsia="仿宋_GB2312"/>
          <w:sz w:val="32"/>
          <w:szCs w:val="32"/>
        </w:rPr>
        <w:t>现场评价工作小组</w:t>
      </w:r>
      <w:r>
        <w:rPr>
          <w:rFonts w:hint="eastAsia" w:eastAsia="仿宋_GB2312"/>
          <w:sz w:val="32"/>
          <w:szCs w:val="32"/>
        </w:rPr>
        <w:t>组织对厅本级及所属二级单位的整体支出情况进行了检查，审阅了单位的凭证，查阅了报表、账簿，对预算收支执行情况进行了核实</w:t>
      </w:r>
      <w:r>
        <w:rPr>
          <w:rFonts w:hint="eastAsia" w:eastAsia="仿宋_GB2312"/>
          <w:sz w:val="32"/>
          <w:szCs w:val="32"/>
          <w:lang w:eastAsia="zh-CN"/>
        </w:rPr>
        <w:t>。</w:t>
      </w:r>
      <w:r>
        <w:rPr>
          <w:rFonts w:hint="eastAsia" w:eastAsia="仿宋_GB2312"/>
          <w:sz w:val="32"/>
          <w:szCs w:val="32"/>
          <w:lang w:val="en-US" w:eastAsia="zh-CN"/>
        </w:rPr>
        <w:t>2026年5</w:t>
      </w:r>
      <w:r>
        <w:rPr>
          <w:rFonts w:eastAsia="仿宋_GB2312"/>
          <w:sz w:val="32"/>
          <w:szCs w:val="32"/>
        </w:rPr>
        <w:t>月</w:t>
      </w:r>
      <w:r>
        <w:rPr>
          <w:rFonts w:hint="eastAsia" w:eastAsia="仿宋_GB2312"/>
          <w:sz w:val="32"/>
          <w:szCs w:val="32"/>
          <w:lang w:val="en-US" w:eastAsia="zh-CN"/>
        </w:rPr>
        <w:t>11</w:t>
      </w:r>
      <w:r>
        <w:rPr>
          <w:rFonts w:eastAsia="仿宋_GB2312"/>
          <w:sz w:val="32"/>
          <w:szCs w:val="32"/>
        </w:rPr>
        <w:t>日</w:t>
      </w:r>
      <w:r>
        <w:rPr>
          <w:rFonts w:hint="eastAsia" w:eastAsia="仿宋_GB2312"/>
          <w:sz w:val="32"/>
          <w:szCs w:val="32"/>
          <w:lang w:eastAsia="zh-CN"/>
        </w:rPr>
        <w:t>，</w:t>
      </w:r>
      <w:r>
        <w:rPr>
          <w:rFonts w:eastAsia="仿宋_GB2312"/>
          <w:sz w:val="32"/>
          <w:szCs w:val="32"/>
        </w:rPr>
        <w:t>完成现场评价</w:t>
      </w:r>
      <w:r>
        <w:rPr>
          <w:rFonts w:hint="eastAsia" w:eastAsia="仿宋_GB2312"/>
          <w:sz w:val="32"/>
          <w:szCs w:val="32"/>
          <w:lang w:eastAsia="zh-CN"/>
        </w:rPr>
        <w:t>、</w:t>
      </w:r>
      <w:r>
        <w:rPr>
          <w:rFonts w:eastAsia="仿宋_GB2312"/>
          <w:sz w:val="32"/>
          <w:szCs w:val="32"/>
        </w:rPr>
        <w:t>部门整体支出绩效评价报告</w:t>
      </w:r>
      <w:r>
        <w:rPr>
          <w:rFonts w:hint="eastAsia" w:eastAsia="仿宋_GB2312"/>
          <w:sz w:val="32"/>
          <w:szCs w:val="32"/>
        </w:rPr>
        <w:t>并在湖南省预算绩效管理信息系统中提交</w:t>
      </w:r>
      <w:r>
        <w:rPr>
          <w:rFonts w:eastAsia="仿宋_GB2312"/>
          <w:kern w:val="0"/>
          <w:sz w:val="32"/>
          <w:szCs w:val="32"/>
        </w:rPr>
        <w:t>。</w:t>
      </w:r>
    </w:p>
    <w:p w14:paraId="16BDA901">
      <w:pPr>
        <w:pStyle w:val="13"/>
        <w:keepNext w:val="0"/>
        <w:keepLines w:val="0"/>
        <w:pageBreakBefore w:val="0"/>
        <w:widowControl w:val="0"/>
        <w:shd w:val="clear" w:color="auto" w:fill="FFFFFF"/>
        <w:kinsoku/>
        <w:wordWrap/>
        <w:overflowPunct/>
        <w:topLinePunct w:val="0"/>
        <w:autoSpaceDE/>
        <w:autoSpaceDN/>
        <w:bidi w:val="0"/>
        <w:adjustRightInd/>
        <w:snapToGrid/>
        <w:spacing w:before="0" w:after="0" w:line="592" w:lineRule="exact"/>
        <w:ind w:firstLine="601" w:firstLineChars="188"/>
        <w:jc w:val="both"/>
        <w:textAlignment w:val="auto"/>
        <w:rPr>
          <w:rFonts w:hint="eastAsia" w:ascii="仿宋_GB2312" w:hAnsi="Times New Roman" w:eastAsia="仿宋_GB2312"/>
          <w:bCs w:val="0"/>
          <w:kern w:val="0"/>
          <w:sz w:val="24"/>
          <w:szCs w:val="24"/>
          <w:lang w:val="en-US"/>
        </w:rPr>
      </w:pPr>
      <w:r>
        <w:rPr>
          <w:rFonts w:hint="eastAsia" w:eastAsia="仿宋_GB2312"/>
          <w:kern w:val="0"/>
          <w:sz w:val="32"/>
          <w:szCs w:val="32"/>
          <w:lang w:eastAsia="zh-CN"/>
        </w:rPr>
        <w:t>（</w:t>
      </w:r>
      <w:r>
        <w:rPr>
          <w:rFonts w:hint="eastAsia" w:eastAsia="仿宋_GB2312"/>
          <w:kern w:val="0"/>
          <w:sz w:val="32"/>
          <w:szCs w:val="32"/>
          <w:lang w:val="en-US" w:eastAsia="zh-CN"/>
        </w:rPr>
        <w:t>三</w:t>
      </w:r>
      <w:r>
        <w:rPr>
          <w:rFonts w:hint="eastAsia" w:eastAsia="仿宋_GB2312"/>
          <w:kern w:val="0"/>
          <w:sz w:val="32"/>
          <w:szCs w:val="32"/>
          <w:lang w:eastAsia="zh-CN"/>
        </w:rPr>
        <w:t>）</w:t>
      </w:r>
      <w:r>
        <w:rPr>
          <w:rFonts w:hint="eastAsia" w:ascii="仿宋_GB2312" w:hAnsi="Times New Roman" w:eastAsia="仿宋_GB2312"/>
          <w:bCs/>
          <w:szCs w:val="24"/>
        </w:rPr>
        <w:t>形成评价结论</w:t>
      </w:r>
      <w:r>
        <w:rPr>
          <w:rFonts w:hint="eastAsia" w:ascii="仿宋_GB2312" w:hAnsi="Times New Roman" w:eastAsia="仿宋_GB2312"/>
          <w:bCs/>
          <w:szCs w:val="24"/>
          <w:lang w:eastAsia="zh-CN"/>
        </w:rPr>
        <w:t>，</w:t>
      </w:r>
      <w:r>
        <w:rPr>
          <w:rFonts w:hint="eastAsia" w:ascii="仿宋_GB2312" w:hAnsi="Times New Roman" w:eastAsia="仿宋_GB2312"/>
          <w:bCs/>
          <w:szCs w:val="24"/>
          <w:lang w:val="en-US"/>
        </w:rPr>
        <w:t>资料整理归档</w:t>
      </w:r>
    </w:p>
    <w:p w14:paraId="32FB845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eastAsia="仿宋_GB2312"/>
          <w:sz w:val="32"/>
          <w:szCs w:val="32"/>
          <w:lang w:eastAsia="zh-CN"/>
        </w:rPr>
      </w:pPr>
      <w:r>
        <w:rPr>
          <w:rFonts w:hint="eastAsia" w:eastAsia="仿宋_GB2312"/>
          <w:sz w:val="32"/>
          <w:szCs w:val="32"/>
        </w:rPr>
        <w:t>绩效自评小组认真总结分析自评和现场评价情况，形成了评价结论；将各预算单位自评情况、数据及相关佐证资料进行分类归档，有效索引。力争考核有数据、评价有依据、指标脉络明确、事实证据充分。</w:t>
      </w:r>
    </w:p>
    <w:p w14:paraId="5FB6CBAD">
      <w:pPr>
        <w:keepNext w:val="0"/>
        <w:keepLines w:val="0"/>
        <w:pageBreakBefore w:val="0"/>
        <w:widowControl w:val="0"/>
        <w:numPr>
          <w:ilvl w:val="0"/>
          <w:numId w:val="1"/>
        </w:numPr>
        <w:kinsoku/>
        <w:wordWrap/>
        <w:overflowPunct/>
        <w:topLinePunct w:val="0"/>
        <w:autoSpaceDE/>
        <w:autoSpaceDN/>
        <w:bidi w:val="0"/>
        <w:adjustRightInd/>
        <w:snapToGrid/>
        <w:spacing w:line="592" w:lineRule="exact"/>
        <w:ind w:firstLine="640" w:firstLineChars="200"/>
        <w:textAlignment w:val="auto"/>
        <w:outlineLvl w:val="0"/>
        <w:rPr>
          <w:rFonts w:eastAsia="黑体"/>
          <w:sz w:val="32"/>
          <w:szCs w:val="32"/>
        </w:rPr>
      </w:pPr>
      <w:bookmarkStart w:id="17" w:name="_Toc195797062"/>
      <w:bookmarkStart w:id="18" w:name="_Toc167115808"/>
      <w:r>
        <w:rPr>
          <w:rFonts w:eastAsia="黑体"/>
          <w:sz w:val="32"/>
          <w:szCs w:val="32"/>
        </w:rPr>
        <w:t>一般公共预算支出情况</w:t>
      </w:r>
      <w:bookmarkEnd w:id="17"/>
      <w:bookmarkEnd w:id="18"/>
    </w:p>
    <w:p w14:paraId="02B094E7">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napToGrid w:val="0"/>
          <w:kern w:val="0"/>
          <w:sz w:val="32"/>
          <w:szCs w:val="32"/>
          <w:highlight w:val="none"/>
        </w:rPr>
      </w:pPr>
      <w:r>
        <w:rPr>
          <w:rFonts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eastAsia="仿宋_GB2312"/>
          <w:snapToGrid w:val="0"/>
          <w:kern w:val="0"/>
          <w:sz w:val="32"/>
          <w:szCs w:val="32"/>
          <w:highlight w:val="none"/>
        </w:rPr>
        <w:t>年我厅纳入绩效自评范围的一般公共预算总金额为</w:t>
      </w:r>
      <w:r>
        <w:rPr>
          <w:rFonts w:hint="eastAsia" w:eastAsia="仿宋_GB2312"/>
          <w:snapToGrid w:val="0"/>
          <w:kern w:val="0"/>
          <w:sz w:val="32"/>
          <w:szCs w:val="32"/>
          <w:highlight w:val="none"/>
        </w:rPr>
        <w:t>3</w:t>
      </w:r>
      <w:r>
        <w:rPr>
          <w:rFonts w:hint="eastAsia" w:eastAsia="仿宋_GB2312"/>
          <w:snapToGrid w:val="0"/>
          <w:kern w:val="0"/>
          <w:sz w:val="32"/>
          <w:szCs w:val="32"/>
          <w:highlight w:val="none"/>
          <w:lang w:val="en-US" w:eastAsia="zh-CN"/>
        </w:rPr>
        <w:t>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502.94</w:t>
      </w:r>
      <w:r>
        <w:rPr>
          <w:rFonts w:eastAsia="仿宋_GB2312"/>
          <w:snapToGrid w:val="0"/>
          <w:kern w:val="0"/>
          <w:sz w:val="32"/>
          <w:szCs w:val="32"/>
          <w:highlight w:val="none"/>
        </w:rPr>
        <w:t>万元</w:t>
      </w:r>
      <w:r>
        <w:rPr>
          <w:rFonts w:hint="eastAsia" w:eastAsia="仿宋_GB2312"/>
          <w:snapToGrid w:val="0"/>
          <w:kern w:val="0"/>
          <w:sz w:val="32"/>
          <w:szCs w:val="32"/>
          <w:highlight w:val="none"/>
        </w:rPr>
        <w:t>，</w:t>
      </w:r>
      <w:r>
        <w:rPr>
          <w:rFonts w:eastAsia="仿宋_GB2312"/>
          <w:snapToGrid w:val="0"/>
          <w:kern w:val="0"/>
          <w:sz w:val="32"/>
          <w:szCs w:val="32"/>
          <w:highlight w:val="none"/>
        </w:rPr>
        <w:t>其中上年结转</w:t>
      </w:r>
      <w:r>
        <w:rPr>
          <w:rFonts w:hint="eastAsia" w:eastAsia="仿宋_GB2312"/>
          <w:snapToGrid w:val="0"/>
          <w:kern w:val="0"/>
          <w:sz w:val="32"/>
          <w:szCs w:val="32"/>
          <w:highlight w:val="none"/>
          <w:lang w:val="en-US" w:eastAsia="zh-CN"/>
        </w:rPr>
        <w:t>2</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144.27</w:t>
      </w:r>
      <w:r>
        <w:rPr>
          <w:rFonts w:eastAsia="仿宋_GB2312"/>
          <w:snapToGrid w:val="0"/>
          <w:kern w:val="0"/>
          <w:sz w:val="32"/>
          <w:szCs w:val="32"/>
          <w:highlight w:val="none"/>
        </w:rPr>
        <w:t>万元，年初预算2</w:t>
      </w:r>
      <w:r>
        <w:rPr>
          <w:rFonts w:hint="eastAsia" w:eastAsia="仿宋_GB2312"/>
          <w:snapToGrid w:val="0"/>
          <w:kern w:val="0"/>
          <w:sz w:val="32"/>
          <w:szCs w:val="32"/>
          <w:highlight w:val="none"/>
          <w:lang w:val="en-US" w:eastAsia="zh-CN"/>
        </w:rPr>
        <w:t>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848.51</w:t>
      </w:r>
      <w:r>
        <w:rPr>
          <w:rFonts w:eastAsia="仿宋_GB2312"/>
          <w:snapToGrid w:val="0"/>
          <w:kern w:val="0"/>
          <w:sz w:val="32"/>
          <w:szCs w:val="32"/>
          <w:highlight w:val="none"/>
        </w:rPr>
        <w:t>万元</w:t>
      </w:r>
      <w:r>
        <w:rPr>
          <w:rFonts w:hint="eastAsia" w:eastAsia="仿宋_GB2312"/>
          <w:snapToGrid w:val="0"/>
          <w:kern w:val="0"/>
          <w:sz w:val="32"/>
          <w:szCs w:val="32"/>
          <w:highlight w:val="none"/>
        </w:rPr>
        <w:t>，本年调整</w:t>
      </w:r>
      <w:r>
        <w:rPr>
          <w:rFonts w:hint="eastAsia" w:eastAsia="仿宋_GB2312"/>
          <w:snapToGrid w:val="0"/>
          <w:kern w:val="0"/>
          <w:sz w:val="32"/>
          <w:szCs w:val="32"/>
          <w:highlight w:val="none"/>
          <w:lang w:val="en-US" w:eastAsia="zh-CN"/>
        </w:rPr>
        <w:t>7</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510.16</w:t>
      </w:r>
      <w:r>
        <w:rPr>
          <w:rFonts w:eastAsia="仿宋_GB2312"/>
          <w:snapToGrid w:val="0"/>
          <w:kern w:val="0"/>
          <w:sz w:val="32"/>
          <w:szCs w:val="32"/>
          <w:highlight w:val="none"/>
        </w:rPr>
        <w:t>万元。具体包括基本支出1</w:t>
      </w:r>
      <w:r>
        <w:rPr>
          <w:rFonts w:hint="eastAsia" w:eastAsia="仿宋_GB2312"/>
          <w:snapToGrid w:val="0"/>
          <w:kern w:val="0"/>
          <w:sz w:val="32"/>
          <w:szCs w:val="32"/>
          <w:highlight w:val="none"/>
          <w:lang w:val="en-US" w:eastAsia="zh-CN"/>
        </w:rPr>
        <w:t>4</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344.80</w:t>
      </w:r>
      <w:r>
        <w:rPr>
          <w:rFonts w:eastAsia="仿宋_GB2312"/>
          <w:snapToGrid w:val="0"/>
          <w:kern w:val="0"/>
          <w:sz w:val="32"/>
          <w:szCs w:val="32"/>
          <w:highlight w:val="none"/>
        </w:rPr>
        <w:t>万元</w:t>
      </w:r>
      <w:r>
        <w:rPr>
          <w:rFonts w:hint="eastAsia" w:eastAsia="仿宋_GB2312"/>
          <w:snapToGrid w:val="0"/>
          <w:kern w:val="0"/>
          <w:sz w:val="32"/>
          <w:szCs w:val="32"/>
          <w:highlight w:val="none"/>
        </w:rPr>
        <w:t>，</w:t>
      </w:r>
      <w:r>
        <w:rPr>
          <w:rFonts w:eastAsia="仿宋_GB2312"/>
          <w:snapToGrid w:val="0"/>
          <w:kern w:val="0"/>
          <w:sz w:val="32"/>
          <w:szCs w:val="32"/>
          <w:highlight w:val="none"/>
        </w:rPr>
        <w:t>项目支出</w:t>
      </w:r>
      <w:r>
        <w:rPr>
          <w:rFonts w:eastAsia="仿宋_GB2312"/>
          <w:snapToGrid w:val="0"/>
          <w:color w:val="000000" w:themeColor="text1"/>
          <w:kern w:val="0"/>
          <w:sz w:val="32"/>
          <w:szCs w:val="32"/>
          <w:highlight w:val="none"/>
          <w14:textFill>
            <w14:solidFill>
              <w14:schemeClr w14:val="tx1"/>
            </w14:solidFill>
          </w14:textFill>
        </w:rPr>
        <w:t>1</w:t>
      </w:r>
      <w:r>
        <w:rPr>
          <w:rFonts w:hint="eastAsia" w:eastAsia="仿宋_GB2312"/>
          <w:snapToGrid w:val="0"/>
          <w:color w:val="000000" w:themeColor="text1"/>
          <w:kern w:val="0"/>
          <w:sz w:val="32"/>
          <w:szCs w:val="32"/>
          <w:highlight w:val="none"/>
          <w:lang w:val="en-US" w:eastAsia="zh-CN"/>
          <w14:textFill>
            <w14:solidFill>
              <w14:schemeClr w14:val="tx1"/>
            </w14:solidFill>
          </w14:textFill>
        </w:rPr>
        <w:t>9</w:t>
      </w:r>
      <w:r>
        <w:rPr>
          <w:rFonts w:hint="eastAsia" w:eastAsia="仿宋_GB2312"/>
          <w:snapToGrid w:val="0"/>
          <w:color w:val="000000" w:themeColor="text1"/>
          <w:kern w:val="0"/>
          <w:sz w:val="32"/>
          <w:szCs w:val="32"/>
          <w:highlight w:val="none"/>
          <w14:textFill>
            <w14:solidFill>
              <w14:schemeClr w14:val="tx1"/>
            </w14:solidFill>
          </w14:textFill>
        </w:rPr>
        <w:t>,</w:t>
      </w:r>
      <w:r>
        <w:rPr>
          <w:rFonts w:hint="eastAsia" w:eastAsia="仿宋_GB2312"/>
          <w:snapToGrid w:val="0"/>
          <w:color w:val="000000" w:themeColor="text1"/>
          <w:kern w:val="0"/>
          <w:sz w:val="32"/>
          <w:szCs w:val="32"/>
          <w:highlight w:val="none"/>
          <w:lang w:val="en-US" w:eastAsia="zh-CN"/>
          <w14:textFill>
            <w14:solidFill>
              <w14:schemeClr w14:val="tx1"/>
            </w14:solidFill>
          </w14:textFill>
        </w:rPr>
        <w:t>157.65</w:t>
      </w:r>
      <w:r>
        <w:rPr>
          <w:rFonts w:eastAsia="仿宋_GB2312"/>
          <w:snapToGrid w:val="0"/>
          <w:kern w:val="0"/>
          <w:sz w:val="32"/>
          <w:szCs w:val="32"/>
          <w:highlight w:val="none"/>
        </w:rPr>
        <w:t>万元</w:t>
      </w:r>
      <w:r>
        <w:rPr>
          <w:rFonts w:hint="eastAsia" w:eastAsia="仿宋_GB2312"/>
          <w:snapToGrid w:val="0"/>
          <w:kern w:val="0"/>
          <w:sz w:val="32"/>
          <w:szCs w:val="32"/>
          <w:highlight w:val="none"/>
        </w:rPr>
        <w:t>。</w:t>
      </w:r>
      <w:r>
        <w:rPr>
          <w:rFonts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eastAsia="仿宋_GB2312"/>
          <w:snapToGrid w:val="0"/>
          <w:kern w:val="0"/>
          <w:sz w:val="32"/>
          <w:szCs w:val="32"/>
          <w:highlight w:val="none"/>
        </w:rPr>
        <w:t>年我厅一般公共预算</w:t>
      </w:r>
      <w:r>
        <w:rPr>
          <w:rFonts w:hint="eastAsia" w:eastAsia="仿宋_GB2312"/>
          <w:snapToGrid w:val="0"/>
          <w:kern w:val="0"/>
          <w:sz w:val="32"/>
          <w:szCs w:val="32"/>
          <w:highlight w:val="none"/>
        </w:rPr>
        <w:t>决算支出</w:t>
      </w:r>
      <w:r>
        <w:rPr>
          <w:rFonts w:eastAsia="仿宋_GB2312"/>
          <w:snapToGrid w:val="0"/>
          <w:kern w:val="0"/>
          <w:sz w:val="32"/>
          <w:szCs w:val="32"/>
          <w:highlight w:val="none"/>
        </w:rPr>
        <w:t>数为2</w:t>
      </w:r>
      <w:r>
        <w:rPr>
          <w:rFonts w:hint="eastAsia" w:eastAsia="仿宋_GB2312"/>
          <w:snapToGrid w:val="0"/>
          <w:kern w:val="0"/>
          <w:sz w:val="32"/>
          <w:szCs w:val="32"/>
          <w:highlight w:val="none"/>
          <w:lang w:val="en-US" w:eastAsia="zh-CN"/>
        </w:rPr>
        <w:t>9</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000</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52</w:t>
      </w:r>
      <w:r>
        <w:rPr>
          <w:rFonts w:eastAsia="仿宋_GB2312"/>
          <w:snapToGrid w:val="0"/>
          <w:kern w:val="0"/>
          <w:sz w:val="32"/>
          <w:szCs w:val="32"/>
          <w:highlight w:val="none"/>
        </w:rPr>
        <w:t>万元</w:t>
      </w:r>
      <w:r>
        <w:rPr>
          <w:rFonts w:hint="eastAsia" w:eastAsia="仿宋_GB2312"/>
          <w:snapToGrid w:val="0"/>
          <w:kern w:val="0"/>
          <w:sz w:val="32"/>
          <w:szCs w:val="32"/>
          <w:highlight w:val="none"/>
        </w:rPr>
        <w:t>，</w:t>
      </w:r>
      <w:r>
        <w:rPr>
          <w:rFonts w:eastAsia="仿宋_GB2312"/>
          <w:snapToGrid w:val="0"/>
          <w:kern w:val="0"/>
          <w:sz w:val="32"/>
          <w:szCs w:val="32"/>
          <w:highlight w:val="none"/>
        </w:rPr>
        <w:t>预算执行率为</w:t>
      </w:r>
      <w:r>
        <w:rPr>
          <w:rFonts w:hint="eastAsia" w:eastAsia="仿宋_GB2312"/>
          <w:snapToGrid w:val="0"/>
          <w:kern w:val="0"/>
          <w:sz w:val="32"/>
          <w:szCs w:val="32"/>
          <w:highlight w:val="none"/>
        </w:rPr>
        <w:t>86.</w:t>
      </w:r>
      <w:r>
        <w:rPr>
          <w:rFonts w:hint="eastAsia" w:eastAsia="仿宋_GB2312"/>
          <w:snapToGrid w:val="0"/>
          <w:kern w:val="0"/>
          <w:sz w:val="32"/>
          <w:szCs w:val="32"/>
          <w:highlight w:val="none"/>
          <w:lang w:val="en-US" w:eastAsia="zh-CN"/>
        </w:rPr>
        <w:t>56</w:t>
      </w:r>
      <w:r>
        <w:rPr>
          <w:rFonts w:eastAsia="仿宋_GB2312"/>
          <w:snapToGrid w:val="0"/>
          <w:kern w:val="0"/>
          <w:sz w:val="32"/>
          <w:szCs w:val="32"/>
          <w:highlight w:val="none"/>
        </w:rPr>
        <w:t>%</w:t>
      </w:r>
      <w:r>
        <w:rPr>
          <w:rFonts w:hint="eastAsia" w:eastAsia="仿宋_GB2312"/>
          <w:snapToGrid w:val="0"/>
          <w:kern w:val="0"/>
          <w:sz w:val="32"/>
          <w:szCs w:val="32"/>
          <w:highlight w:val="none"/>
        </w:rPr>
        <w:t>，</w:t>
      </w:r>
      <w:r>
        <w:rPr>
          <w:rFonts w:eastAsia="仿宋_GB2312"/>
          <w:snapToGrid w:val="0"/>
          <w:kern w:val="0"/>
          <w:sz w:val="32"/>
          <w:szCs w:val="32"/>
          <w:highlight w:val="none"/>
        </w:rPr>
        <w:t>其中</w:t>
      </w:r>
      <w:r>
        <w:rPr>
          <w:rFonts w:hint="eastAsia" w:eastAsia="仿宋_GB2312"/>
          <w:snapToGrid w:val="0"/>
          <w:kern w:val="0"/>
          <w:sz w:val="32"/>
          <w:szCs w:val="32"/>
          <w:highlight w:val="none"/>
        </w:rPr>
        <w:t>：</w:t>
      </w:r>
      <w:r>
        <w:rPr>
          <w:rFonts w:eastAsia="仿宋_GB2312"/>
          <w:snapToGrid w:val="0"/>
          <w:kern w:val="0"/>
          <w:sz w:val="32"/>
          <w:szCs w:val="32"/>
          <w:highlight w:val="none"/>
        </w:rPr>
        <w:t>基本支出13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775</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90</w:t>
      </w:r>
      <w:r>
        <w:rPr>
          <w:rFonts w:eastAsia="仿宋_GB2312"/>
          <w:snapToGrid w:val="0"/>
          <w:kern w:val="0"/>
          <w:sz w:val="32"/>
          <w:szCs w:val="32"/>
          <w:highlight w:val="none"/>
        </w:rPr>
        <w:t>万元</w:t>
      </w:r>
      <w:r>
        <w:rPr>
          <w:rFonts w:hint="eastAsia" w:eastAsia="仿宋_GB2312"/>
          <w:snapToGrid w:val="0"/>
          <w:kern w:val="0"/>
          <w:sz w:val="32"/>
          <w:szCs w:val="32"/>
          <w:highlight w:val="none"/>
        </w:rPr>
        <w:t>，</w:t>
      </w:r>
      <w:r>
        <w:rPr>
          <w:rFonts w:eastAsia="仿宋_GB2312"/>
          <w:snapToGrid w:val="0"/>
          <w:kern w:val="0"/>
          <w:sz w:val="32"/>
          <w:szCs w:val="32"/>
          <w:highlight w:val="none"/>
        </w:rPr>
        <w:t>项目支出1</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224</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63</w:t>
      </w:r>
      <w:r>
        <w:rPr>
          <w:rFonts w:eastAsia="仿宋_GB2312"/>
          <w:snapToGrid w:val="0"/>
          <w:kern w:val="0"/>
          <w:sz w:val="32"/>
          <w:szCs w:val="32"/>
          <w:highlight w:val="none"/>
        </w:rPr>
        <w:t>万元。具体情况如下：</w:t>
      </w:r>
    </w:p>
    <w:p w14:paraId="4B4D085B">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eastAsia="楷体_GB2312"/>
          <w:b/>
          <w:snapToGrid w:val="0"/>
          <w:kern w:val="0"/>
          <w:sz w:val="32"/>
          <w:szCs w:val="32"/>
          <w:highlight w:val="none"/>
        </w:rPr>
      </w:pPr>
      <w:bookmarkStart w:id="19" w:name="_Toc195797063"/>
      <w:bookmarkStart w:id="20" w:name="_Toc167115809"/>
      <w:r>
        <w:rPr>
          <w:rFonts w:eastAsia="楷体_GB2312"/>
          <w:b/>
          <w:snapToGrid w:val="0"/>
          <w:kern w:val="0"/>
          <w:sz w:val="32"/>
          <w:szCs w:val="32"/>
          <w:highlight w:val="none"/>
        </w:rPr>
        <w:t>（一）基本支出情况</w:t>
      </w:r>
      <w:bookmarkEnd w:id="19"/>
      <w:bookmarkEnd w:id="20"/>
    </w:p>
    <w:p w14:paraId="65466BDE">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napToGrid w:val="0"/>
          <w:kern w:val="0"/>
          <w:sz w:val="32"/>
          <w:szCs w:val="32"/>
          <w:highlight w:val="none"/>
        </w:rPr>
      </w:pPr>
      <w:r>
        <w:rPr>
          <w:rFonts w:hint="eastAsia" w:eastAsia="仿宋_GB2312"/>
          <w:snapToGrid w:val="0"/>
          <w:kern w:val="0"/>
          <w:sz w:val="32"/>
          <w:szCs w:val="32"/>
          <w:highlight w:val="none"/>
        </w:rPr>
        <w:t>1</w:t>
      </w:r>
      <w:r>
        <w:rPr>
          <w:rFonts w:hint="eastAsia" w:eastAsia="仿宋_GB2312"/>
          <w:snapToGrid w:val="0"/>
          <w:kern w:val="0"/>
          <w:sz w:val="32"/>
          <w:szCs w:val="32"/>
          <w:highlight w:val="none"/>
          <w:lang w:eastAsia="zh-CN"/>
        </w:rPr>
        <w:t>.</w:t>
      </w:r>
      <w:r>
        <w:rPr>
          <w:rFonts w:eastAsia="仿宋_GB2312"/>
          <w:snapToGrid w:val="0"/>
          <w:kern w:val="0"/>
          <w:sz w:val="32"/>
          <w:szCs w:val="32"/>
          <w:highlight w:val="none"/>
        </w:rPr>
        <w:t>资金安排及支出明细</w:t>
      </w:r>
    </w:p>
    <w:p w14:paraId="59A50833">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b/>
          <w:bCs/>
          <w:snapToGrid w:val="0"/>
          <w:kern w:val="0"/>
          <w:sz w:val="32"/>
          <w:szCs w:val="32"/>
          <w:highlight w:val="none"/>
        </w:rPr>
      </w:pPr>
      <w:r>
        <w:rPr>
          <w:rFonts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eastAsia="仿宋_GB2312"/>
          <w:snapToGrid w:val="0"/>
          <w:kern w:val="0"/>
          <w:sz w:val="32"/>
          <w:szCs w:val="32"/>
          <w:highlight w:val="none"/>
        </w:rPr>
        <w:t>年我厅纳入绩效自评范围的基本支出预算资金总额为1</w:t>
      </w:r>
      <w:r>
        <w:rPr>
          <w:rFonts w:hint="eastAsia" w:eastAsia="仿宋_GB2312"/>
          <w:snapToGrid w:val="0"/>
          <w:kern w:val="0"/>
          <w:sz w:val="32"/>
          <w:szCs w:val="32"/>
          <w:highlight w:val="none"/>
          <w:lang w:val="en-US" w:eastAsia="zh-CN"/>
        </w:rPr>
        <w:t>4</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344.80</w:t>
      </w:r>
      <w:r>
        <w:rPr>
          <w:rFonts w:eastAsia="仿宋_GB2312"/>
          <w:snapToGrid w:val="0"/>
          <w:kern w:val="0"/>
          <w:sz w:val="32"/>
          <w:szCs w:val="32"/>
          <w:highlight w:val="none"/>
        </w:rPr>
        <w:t>万元，占我厅部门一般公共预算资金总额</w:t>
      </w:r>
      <w:r>
        <w:rPr>
          <w:rFonts w:hint="eastAsia" w:eastAsia="仿宋_GB2312"/>
          <w:snapToGrid w:val="0"/>
          <w:kern w:val="0"/>
          <w:sz w:val="32"/>
          <w:szCs w:val="32"/>
          <w:highlight w:val="none"/>
        </w:rPr>
        <w:t>3</w:t>
      </w:r>
      <w:r>
        <w:rPr>
          <w:rFonts w:hint="eastAsia" w:eastAsia="仿宋_GB2312"/>
          <w:snapToGrid w:val="0"/>
          <w:kern w:val="0"/>
          <w:sz w:val="32"/>
          <w:szCs w:val="32"/>
          <w:highlight w:val="none"/>
          <w:lang w:val="en-US" w:eastAsia="zh-CN"/>
        </w:rPr>
        <w:t>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502.94</w:t>
      </w:r>
      <w:r>
        <w:rPr>
          <w:rFonts w:eastAsia="仿宋_GB2312"/>
          <w:snapToGrid w:val="0"/>
          <w:kern w:val="0"/>
          <w:sz w:val="32"/>
          <w:szCs w:val="32"/>
          <w:highlight w:val="none"/>
        </w:rPr>
        <w:t>万元的</w:t>
      </w:r>
      <w:r>
        <w:rPr>
          <w:rFonts w:hint="eastAsia" w:eastAsia="仿宋_GB2312"/>
          <w:snapToGrid w:val="0"/>
          <w:kern w:val="0"/>
          <w:sz w:val="32"/>
          <w:szCs w:val="32"/>
          <w:highlight w:val="none"/>
        </w:rPr>
        <w:t>4</w:t>
      </w:r>
      <w:r>
        <w:rPr>
          <w:rFonts w:hint="eastAsia" w:eastAsia="仿宋_GB2312"/>
          <w:snapToGrid w:val="0"/>
          <w:kern w:val="0"/>
          <w:sz w:val="32"/>
          <w:szCs w:val="32"/>
          <w:highlight w:val="none"/>
          <w:lang w:val="en-US" w:eastAsia="zh-CN"/>
        </w:rPr>
        <w:t>2.82</w:t>
      </w:r>
      <w:r>
        <w:rPr>
          <w:rFonts w:eastAsia="仿宋_GB2312"/>
          <w:snapToGrid w:val="0"/>
          <w:kern w:val="0"/>
          <w:sz w:val="32"/>
          <w:szCs w:val="32"/>
          <w:highlight w:val="none"/>
        </w:rPr>
        <w:t>%，其中：年初预算1</w:t>
      </w:r>
      <w:r>
        <w:rPr>
          <w:rFonts w:hint="eastAsia" w:eastAsia="仿宋_GB2312"/>
          <w:snapToGrid w:val="0"/>
          <w:kern w:val="0"/>
          <w:sz w:val="32"/>
          <w:szCs w:val="32"/>
          <w:highlight w:val="none"/>
          <w:lang w:val="en-US" w:eastAsia="zh-CN"/>
        </w:rPr>
        <w:t>3</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483.69</w:t>
      </w:r>
      <w:r>
        <w:rPr>
          <w:rFonts w:eastAsia="仿宋_GB2312"/>
          <w:snapToGrid w:val="0"/>
          <w:kern w:val="0"/>
          <w:sz w:val="32"/>
          <w:szCs w:val="32"/>
          <w:highlight w:val="none"/>
        </w:rPr>
        <w:t>万元</w:t>
      </w:r>
      <w:r>
        <w:rPr>
          <w:rFonts w:hint="eastAsia" w:eastAsia="仿宋_GB2312"/>
          <w:snapToGrid w:val="0"/>
          <w:kern w:val="0"/>
          <w:sz w:val="32"/>
          <w:szCs w:val="32"/>
          <w:highlight w:val="none"/>
        </w:rPr>
        <w:t>、本年调整</w:t>
      </w:r>
      <w:r>
        <w:rPr>
          <w:rFonts w:hint="eastAsia" w:eastAsia="仿宋_GB2312"/>
          <w:snapToGrid w:val="0"/>
          <w:kern w:val="0"/>
          <w:sz w:val="32"/>
          <w:szCs w:val="32"/>
          <w:highlight w:val="none"/>
          <w:lang w:val="en-US" w:eastAsia="zh-CN"/>
        </w:rPr>
        <w:t>861.61</w:t>
      </w:r>
      <w:r>
        <w:rPr>
          <w:rFonts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eastAsia="仿宋_GB2312"/>
          <w:snapToGrid w:val="0"/>
          <w:kern w:val="0"/>
          <w:sz w:val="32"/>
          <w:szCs w:val="32"/>
          <w:highlight w:val="none"/>
        </w:rPr>
        <w:t>年</w:t>
      </w:r>
      <w:r>
        <w:rPr>
          <w:rFonts w:hint="eastAsia" w:eastAsia="仿宋_GB2312"/>
          <w:snapToGrid w:val="0"/>
          <w:kern w:val="0"/>
          <w:sz w:val="32"/>
          <w:szCs w:val="32"/>
          <w:highlight w:val="none"/>
        </w:rPr>
        <w:t>决算支出13,</w:t>
      </w:r>
      <w:r>
        <w:rPr>
          <w:rFonts w:hint="eastAsia" w:eastAsia="仿宋_GB2312"/>
          <w:snapToGrid w:val="0"/>
          <w:kern w:val="0"/>
          <w:sz w:val="32"/>
          <w:szCs w:val="32"/>
          <w:highlight w:val="none"/>
          <w:lang w:val="en-US" w:eastAsia="zh-CN"/>
        </w:rPr>
        <w:t>775</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90</w:t>
      </w:r>
      <w:r>
        <w:rPr>
          <w:rFonts w:eastAsia="仿宋_GB2312"/>
          <w:snapToGrid w:val="0"/>
          <w:kern w:val="0"/>
          <w:sz w:val="32"/>
          <w:szCs w:val="32"/>
          <w:highlight w:val="none"/>
        </w:rPr>
        <w:t>万元，预算执行率为</w:t>
      </w:r>
      <w:r>
        <w:rPr>
          <w:rFonts w:hint="eastAsia" w:eastAsia="仿宋_GB2312"/>
          <w:snapToGrid w:val="0"/>
          <w:kern w:val="0"/>
          <w:sz w:val="32"/>
          <w:szCs w:val="32"/>
          <w:highlight w:val="none"/>
        </w:rPr>
        <w:t>96.</w:t>
      </w:r>
      <w:r>
        <w:rPr>
          <w:rFonts w:hint="eastAsia" w:eastAsia="仿宋_GB2312"/>
          <w:snapToGrid w:val="0"/>
          <w:kern w:val="0"/>
          <w:sz w:val="32"/>
          <w:szCs w:val="32"/>
          <w:highlight w:val="none"/>
          <w:lang w:val="en-US" w:eastAsia="zh-CN"/>
        </w:rPr>
        <w:t>03</w:t>
      </w:r>
      <w:r>
        <w:rPr>
          <w:rFonts w:eastAsia="仿宋_GB2312"/>
          <w:snapToGrid w:val="0"/>
          <w:kern w:val="0"/>
          <w:sz w:val="32"/>
          <w:szCs w:val="32"/>
          <w:highlight w:val="none"/>
        </w:rPr>
        <w:t>%，结转结余</w:t>
      </w:r>
      <w:r>
        <w:rPr>
          <w:rFonts w:hint="eastAsia" w:eastAsia="仿宋_GB2312"/>
          <w:snapToGrid w:val="0"/>
          <w:kern w:val="0"/>
          <w:sz w:val="32"/>
          <w:szCs w:val="32"/>
          <w:highlight w:val="none"/>
          <w:lang w:val="en-US" w:eastAsia="zh-CN"/>
        </w:rPr>
        <w:t>569.40</w:t>
      </w:r>
      <w:r>
        <w:rPr>
          <w:rFonts w:eastAsia="仿宋_GB2312"/>
          <w:snapToGrid w:val="0"/>
          <w:kern w:val="0"/>
          <w:sz w:val="32"/>
          <w:szCs w:val="32"/>
          <w:highlight w:val="none"/>
        </w:rPr>
        <w:t>万元，具体情况如下：</w:t>
      </w:r>
    </w:p>
    <w:p w14:paraId="2B388397">
      <w:pPr>
        <w:spacing w:line="592" w:lineRule="exact"/>
        <w:ind w:left="6820" w:leftChars="200" w:hanging="6400" w:hangingChars="2000"/>
        <w:jc w:val="center"/>
        <w:rPr>
          <w:rFonts w:eastAsia="仿宋_GB2312"/>
          <w:kern w:val="0"/>
          <w:sz w:val="32"/>
          <w:szCs w:val="32"/>
          <w:highlight w:val="none"/>
        </w:rPr>
      </w:pPr>
      <w:r>
        <w:rPr>
          <w:rFonts w:eastAsia="仿宋_GB2312"/>
          <w:kern w:val="0"/>
          <w:sz w:val="32"/>
          <w:szCs w:val="32"/>
          <w:highlight w:val="none"/>
        </w:rPr>
        <w:t>表1基本支出资金明细表</w:t>
      </w:r>
    </w:p>
    <w:p w14:paraId="321D0362">
      <w:pPr>
        <w:pStyle w:val="10"/>
        <w:spacing w:line="592" w:lineRule="exact"/>
        <w:ind w:firstLine="6400" w:firstLineChars="2000"/>
        <w:rPr>
          <w:rFonts w:eastAsia="仿宋_GB2312"/>
          <w:kern w:val="0"/>
          <w:sz w:val="32"/>
          <w:szCs w:val="32"/>
          <w:highlight w:val="none"/>
        </w:rPr>
      </w:pPr>
      <w:r>
        <w:rPr>
          <w:rFonts w:eastAsia="仿宋_GB2312"/>
          <w:kern w:val="0"/>
          <w:sz w:val="32"/>
          <w:szCs w:val="32"/>
          <w:highlight w:val="none"/>
        </w:rPr>
        <w:t>单位：万元</w:t>
      </w:r>
    </w:p>
    <w:tbl>
      <w:tblPr>
        <w:tblStyle w:val="17"/>
        <w:tblW w:w="8640" w:type="dxa"/>
        <w:tblInd w:w="0" w:type="dxa"/>
        <w:tblLayout w:type="fixed"/>
        <w:tblCellMar>
          <w:top w:w="0" w:type="dxa"/>
          <w:left w:w="108" w:type="dxa"/>
          <w:bottom w:w="0" w:type="dxa"/>
          <w:right w:w="108" w:type="dxa"/>
        </w:tblCellMar>
      </w:tblPr>
      <w:tblGrid>
        <w:gridCol w:w="447"/>
        <w:gridCol w:w="2206"/>
        <w:gridCol w:w="834"/>
        <w:gridCol w:w="1028"/>
        <w:gridCol w:w="1121"/>
        <w:gridCol w:w="1028"/>
        <w:gridCol w:w="1028"/>
        <w:gridCol w:w="948"/>
      </w:tblGrid>
      <w:tr w14:paraId="1B1E356B">
        <w:tblPrEx>
          <w:tblCellMar>
            <w:top w:w="0" w:type="dxa"/>
            <w:left w:w="108" w:type="dxa"/>
            <w:bottom w:w="0" w:type="dxa"/>
            <w:right w:w="108" w:type="dxa"/>
          </w:tblCellMar>
        </w:tblPrEx>
        <w:trPr>
          <w:trHeight w:val="300" w:hRule="atLeast"/>
          <w:tblHeader/>
        </w:trPr>
        <w:tc>
          <w:tcPr>
            <w:tcW w:w="447" w:type="dxa"/>
            <w:tcBorders>
              <w:top w:val="single" w:color="auto" w:sz="12" w:space="0"/>
              <w:left w:val="nil"/>
              <w:bottom w:val="single" w:color="auto" w:sz="8" w:space="0"/>
              <w:right w:val="single" w:color="auto" w:sz="8" w:space="0"/>
            </w:tcBorders>
            <w:shd w:val="clear" w:color="auto" w:fill="auto"/>
            <w:noWrap/>
            <w:vAlign w:val="center"/>
          </w:tcPr>
          <w:p w14:paraId="768397E2">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序号</w:t>
            </w:r>
          </w:p>
        </w:tc>
        <w:tc>
          <w:tcPr>
            <w:tcW w:w="2206" w:type="dxa"/>
            <w:tcBorders>
              <w:top w:val="single" w:color="auto" w:sz="12" w:space="0"/>
              <w:left w:val="nil"/>
              <w:bottom w:val="single" w:color="auto" w:sz="8" w:space="0"/>
              <w:right w:val="single" w:color="auto" w:sz="8" w:space="0"/>
            </w:tcBorders>
            <w:shd w:val="clear" w:color="auto" w:fill="auto"/>
            <w:noWrap/>
            <w:vAlign w:val="center"/>
          </w:tcPr>
          <w:p w14:paraId="3166AB38">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单位名称</w:t>
            </w:r>
          </w:p>
        </w:tc>
        <w:tc>
          <w:tcPr>
            <w:tcW w:w="834" w:type="dxa"/>
            <w:tcBorders>
              <w:top w:val="single" w:color="auto" w:sz="12" w:space="0"/>
              <w:left w:val="nil"/>
              <w:bottom w:val="single" w:color="auto" w:sz="8" w:space="0"/>
              <w:right w:val="single" w:color="auto" w:sz="8" w:space="0"/>
            </w:tcBorders>
            <w:shd w:val="clear" w:color="auto" w:fill="auto"/>
            <w:noWrap/>
            <w:vAlign w:val="center"/>
          </w:tcPr>
          <w:p w14:paraId="4AC34F65">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上年结转</w:t>
            </w:r>
          </w:p>
        </w:tc>
        <w:tc>
          <w:tcPr>
            <w:tcW w:w="1028" w:type="dxa"/>
            <w:tcBorders>
              <w:top w:val="single" w:color="auto" w:sz="12" w:space="0"/>
              <w:left w:val="nil"/>
              <w:bottom w:val="single" w:color="auto" w:sz="8" w:space="0"/>
              <w:right w:val="single" w:color="auto" w:sz="8" w:space="0"/>
            </w:tcBorders>
            <w:shd w:val="clear" w:color="auto" w:fill="auto"/>
            <w:noWrap/>
            <w:vAlign w:val="center"/>
          </w:tcPr>
          <w:p w14:paraId="41C9BD8B">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年初预算</w:t>
            </w:r>
          </w:p>
        </w:tc>
        <w:tc>
          <w:tcPr>
            <w:tcW w:w="1121" w:type="dxa"/>
            <w:tcBorders>
              <w:top w:val="single" w:color="auto" w:sz="12" w:space="0"/>
              <w:left w:val="nil"/>
              <w:bottom w:val="single" w:color="auto" w:sz="8" w:space="0"/>
              <w:right w:val="single" w:color="auto" w:sz="8" w:space="0"/>
            </w:tcBorders>
            <w:shd w:val="clear" w:color="auto" w:fill="auto"/>
            <w:noWrap/>
            <w:vAlign w:val="center"/>
          </w:tcPr>
          <w:p w14:paraId="73794DE4">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本年调整</w:t>
            </w:r>
          </w:p>
        </w:tc>
        <w:tc>
          <w:tcPr>
            <w:tcW w:w="1028" w:type="dxa"/>
            <w:tcBorders>
              <w:top w:val="single" w:color="auto" w:sz="12" w:space="0"/>
              <w:left w:val="nil"/>
              <w:bottom w:val="single" w:color="auto" w:sz="8" w:space="0"/>
              <w:right w:val="single" w:color="auto" w:sz="8" w:space="0"/>
            </w:tcBorders>
            <w:shd w:val="clear" w:color="auto" w:fill="auto"/>
            <w:vAlign w:val="center"/>
          </w:tcPr>
          <w:p w14:paraId="0FAE2036">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全年预算</w:t>
            </w:r>
          </w:p>
        </w:tc>
        <w:tc>
          <w:tcPr>
            <w:tcW w:w="1028" w:type="dxa"/>
            <w:tcBorders>
              <w:top w:val="single" w:color="auto" w:sz="12" w:space="0"/>
              <w:left w:val="nil"/>
              <w:bottom w:val="single" w:color="auto" w:sz="8" w:space="0"/>
              <w:right w:val="single" w:color="auto" w:sz="8" w:space="0"/>
            </w:tcBorders>
            <w:shd w:val="clear" w:color="auto" w:fill="auto"/>
            <w:noWrap/>
            <w:vAlign w:val="center"/>
          </w:tcPr>
          <w:p w14:paraId="26167F2D">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决算支出</w:t>
            </w:r>
          </w:p>
        </w:tc>
        <w:tc>
          <w:tcPr>
            <w:tcW w:w="948" w:type="dxa"/>
            <w:tcBorders>
              <w:top w:val="single" w:color="auto" w:sz="12" w:space="0"/>
              <w:left w:val="nil"/>
              <w:bottom w:val="single" w:color="auto" w:sz="8" w:space="0"/>
              <w:right w:val="nil"/>
            </w:tcBorders>
            <w:shd w:val="clear" w:color="auto" w:fill="auto"/>
            <w:noWrap/>
            <w:vAlign w:val="center"/>
          </w:tcPr>
          <w:p w14:paraId="4819A6BB">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结转结余</w:t>
            </w:r>
          </w:p>
        </w:tc>
      </w:tr>
      <w:tr w14:paraId="7DB556F2">
        <w:tblPrEx>
          <w:tblCellMar>
            <w:top w:w="0" w:type="dxa"/>
            <w:left w:w="108" w:type="dxa"/>
            <w:bottom w:w="0" w:type="dxa"/>
            <w:right w:w="108" w:type="dxa"/>
          </w:tblCellMar>
        </w:tblPrEx>
        <w:trPr>
          <w:trHeight w:val="490" w:hRule="atLeast"/>
        </w:trPr>
        <w:tc>
          <w:tcPr>
            <w:tcW w:w="447" w:type="dxa"/>
            <w:tcBorders>
              <w:top w:val="nil"/>
              <w:left w:val="nil"/>
              <w:bottom w:val="single" w:color="auto" w:sz="8" w:space="0"/>
              <w:right w:val="single" w:color="auto" w:sz="8" w:space="0"/>
            </w:tcBorders>
            <w:shd w:val="clear" w:color="auto" w:fill="auto"/>
            <w:noWrap/>
            <w:vAlign w:val="center"/>
          </w:tcPr>
          <w:p w14:paraId="70F40968">
            <w:pPr>
              <w:widowControl/>
              <w:jc w:val="center"/>
              <w:rPr>
                <w:rFonts w:eastAsia="等线"/>
                <w:color w:val="000000"/>
                <w:kern w:val="0"/>
                <w:sz w:val="18"/>
                <w:szCs w:val="18"/>
                <w:highlight w:val="none"/>
              </w:rPr>
            </w:pPr>
            <w:r>
              <w:rPr>
                <w:rFonts w:eastAsia="等线"/>
                <w:color w:val="000000"/>
                <w:kern w:val="0"/>
                <w:sz w:val="18"/>
                <w:szCs w:val="18"/>
                <w:highlight w:val="none"/>
              </w:rPr>
              <w:t>1</w:t>
            </w:r>
          </w:p>
        </w:tc>
        <w:tc>
          <w:tcPr>
            <w:tcW w:w="2206" w:type="dxa"/>
            <w:tcBorders>
              <w:top w:val="nil"/>
              <w:left w:val="nil"/>
              <w:bottom w:val="single" w:color="auto" w:sz="8" w:space="0"/>
              <w:right w:val="single" w:color="auto" w:sz="8" w:space="0"/>
            </w:tcBorders>
            <w:shd w:val="clear" w:color="auto" w:fill="auto"/>
            <w:vAlign w:val="center"/>
          </w:tcPr>
          <w:p w14:paraId="5D19DC2E">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湖南省人力资源和社会保障厅（本级）</w:t>
            </w:r>
          </w:p>
        </w:tc>
        <w:tc>
          <w:tcPr>
            <w:tcW w:w="834" w:type="dxa"/>
            <w:tcBorders>
              <w:top w:val="nil"/>
              <w:left w:val="nil"/>
              <w:bottom w:val="single" w:color="auto" w:sz="8" w:space="0"/>
              <w:right w:val="single" w:color="auto" w:sz="8" w:space="0"/>
            </w:tcBorders>
            <w:shd w:val="clear" w:color="auto" w:fill="auto"/>
            <w:noWrap/>
            <w:vAlign w:val="center"/>
          </w:tcPr>
          <w:p w14:paraId="4420C539">
            <w:pPr>
              <w:widowControl/>
              <w:jc w:val="center"/>
              <w:rPr>
                <w:rFonts w:hint="eastAsia"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w:t>
            </w:r>
          </w:p>
        </w:tc>
        <w:tc>
          <w:tcPr>
            <w:tcW w:w="1028" w:type="dxa"/>
            <w:tcBorders>
              <w:top w:val="nil"/>
              <w:left w:val="nil"/>
              <w:bottom w:val="single" w:color="auto" w:sz="8" w:space="0"/>
              <w:right w:val="single" w:color="auto" w:sz="8" w:space="0"/>
            </w:tcBorders>
            <w:shd w:val="clear" w:color="auto" w:fill="auto"/>
            <w:noWrap/>
            <w:vAlign w:val="center"/>
          </w:tcPr>
          <w:p w14:paraId="383B06DB">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7,011.00</w:t>
            </w:r>
          </w:p>
        </w:tc>
        <w:tc>
          <w:tcPr>
            <w:tcW w:w="1121" w:type="dxa"/>
            <w:tcBorders>
              <w:top w:val="nil"/>
              <w:left w:val="nil"/>
              <w:bottom w:val="single" w:color="auto" w:sz="8" w:space="0"/>
              <w:right w:val="single" w:color="auto" w:sz="8" w:space="0"/>
            </w:tcBorders>
            <w:shd w:val="clear" w:color="auto" w:fill="auto"/>
            <w:noWrap/>
            <w:vAlign w:val="center"/>
          </w:tcPr>
          <w:p w14:paraId="4B82CFA8">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320.31</w:t>
            </w:r>
          </w:p>
        </w:tc>
        <w:tc>
          <w:tcPr>
            <w:tcW w:w="1028" w:type="dxa"/>
            <w:tcBorders>
              <w:top w:val="nil"/>
              <w:left w:val="nil"/>
              <w:bottom w:val="single" w:color="auto" w:sz="8" w:space="0"/>
              <w:right w:val="single" w:color="auto" w:sz="8" w:space="0"/>
            </w:tcBorders>
            <w:shd w:val="clear" w:color="auto" w:fill="auto"/>
            <w:vAlign w:val="center"/>
          </w:tcPr>
          <w:p w14:paraId="74654089">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7,331.31</w:t>
            </w:r>
          </w:p>
        </w:tc>
        <w:tc>
          <w:tcPr>
            <w:tcW w:w="1028" w:type="dxa"/>
            <w:tcBorders>
              <w:top w:val="nil"/>
              <w:left w:val="nil"/>
              <w:bottom w:val="single" w:color="auto" w:sz="8" w:space="0"/>
              <w:right w:val="single" w:color="auto" w:sz="8" w:space="0"/>
            </w:tcBorders>
            <w:shd w:val="clear" w:color="auto" w:fill="auto"/>
            <w:noWrap/>
            <w:vAlign w:val="center"/>
          </w:tcPr>
          <w:p w14:paraId="6B69C62C">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7,213.19</w:t>
            </w:r>
          </w:p>
        </w:tc>
        <w:tc>
          <w:tcPr>
            <w:tcW w:w="948" w:type="dxa"/>
            <w:tcBorders>
              <w:top w:val="nil"/>
              <w:left w:val="nil"/>
              <w:bottom w:val="single" w:color="auto" w:sz="8" w:space="0"/>
              <w:right w:val="nil"/>
            </w:tcBorders>
            <w:shd w:val="clear" w:color="auto" w:fill="auto"/>
            <w:noWrap/>
            <w:vAlign w:val="center"/>
          </w:tcPr>
          <w:p w14:paraId="53E4704F">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118.12</w:t>
            </w:r>
          </w:p>
        </w:tc>
      </w:tr>
      <w:tr w14:paraId="1EF0CED1">
        <w:tblPrEx>
          <w:tblCellMar>
            <w:top w:w="0" w:type="dxa"/>
            <w:left w:w="108" w:type="dxa"/>
            <w:bottom w:w="0" w:type="dxa"/>
            <w:right w:w="108" w:type="dxa"/>
          </w:tblCellMar>
        </w:tblPrEx>
        <w:trPr>
          <w:trHeight w:val="290" w:hRule="atLeast"/>
        </w:trPr>
        <w:tc>
          <w:tcPr>
            <w:tcW w:w="447" w:type="dxa"/>
            <w:tcBorders>
              <w:top w:val="nil"/>
              <w:left w:val="nil"/>
              <w:bottom w:val="single" w:color="auto" w:sz="8" w:space="0"/>
              <w:right w:val="single" w:color="auto" w:sz="8" w:space="0"/>
            </w:tcBorders>
            <w:shd w:val="clear" w:color="auto" w:fill="auto"/>
            <w:noWrap/>
            <w:vAlign w:val="center"/>
          </w:tcPr>
          <w:p w14:paraId="30D5705C">
            <w:pPr>
              <w:widowControl/>
              <w:jc w:val="center"/>
              <w:rPr>
                <w:rFonts w:eastAsia="等线"/>
                <w:color w:val="000000"/>
                <w:kern w:val="0"/>
                <w:sz w:val="18"/>
                <w:szCs w:val="18"/>
                <w:highlight w:val="none"/>
              </w:rPr>
            </w:pPr>
            <w:r>
              <w:rPr>
                <w:rFonts w:eastAsia="等线"/>
                <w:color w:val="000000"/>
                <w:kern w:val="0"/>
                <w:sz w:val="18"/>
                <w:szCs w:val="18"/>
                <w:highlight w:val="none"/>
              </w:rPr>
              <w:t>2</w:t>
            </w:r>
          </w:p>
        </w:tc>
        <w:tc>
          <w:tcPr>
            <w:tcW w:w="2206" w:type="dxa"/>
            <w:tcBorders>
              <w:top w:val="nil"/>
              <w:left w:val="nil"/>
              <w:bottom w:val="single" w:color="auto" w:sz="8" w:space="0"/>
              <w:right w:val="single" w:color="auto" w:sz="8" w:space="0"/>
            </w:tcBorders>
            <w:shd w:val="clear" w:color="auto" w:fill="auto"/>
            <w:vAlign w:val="center"/>
          </w:tcPr>
          <w:p w14:paraId="07444960">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湖南省社会保险服务中心</w:t>
            </w:r>
          </w:p>
        </w:tc>
        <w:tc>
          <w:tcPr>
            <w:tcW w:w="834" w:type="dxa"/>
            <w:tcBorders>
              <w:top w:val="nil"/>
              <w:left w:val="nil"/>
              <w:bottom w:val="single" w:color="auto" w:sz="8" w:space="0"/>
              <w:right w:val="single" w:color="auto" w:sz="8" w:space="0"/>
            </w:tcBorders>
            <w:shd w:val="clear" w:color="auto" w:fill="auto"/>
            <w:noWrap/>
            <w:vAlign w:val="center"/>
          </w:tcPr>
          <w:p w14:paraId="61BF9415">
            <w:pPr>
              <w:widowControl/>
              <w:jc w:val="center"/>
              <w:rPr>
                <w:rFonts w:hint="eastAsia"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w:t>
            </w:r>
          </w:p>
        </w:tc>
        <w:tc>
          <w:tcPr>
            <w:tcW w:w="1028" w:type="dxa"/>
            <w:tcBorders>
              <w:top w:val="nil"/>
              <w:left w:val="nil"/>
              <w:bottom w:val="single" w:color="auto" w:sz="8" w:space="0"/>
              <w:right w:val="single" w:color="auto" w:sz="8" w:space="0"/>
            </w:tcBorders>
            <w:shd w:val="clear" w:color="auto" w:fill="auto"/>
            <w:noWrap/>
            <w:vAlign w:val="center"/>
          </w:tcPr>
          <w:p w14:paraId="0DA0C9EA">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1,5</w:t>
            </w:r>
            <w:r>
              <w:rPr>
                <w:rFonts w:hint="eastAsia" w:eastAsia="等线"/>
                <w:color w:val="000000"/>
                <w:kern w:val="0"/>
                <w:sz w:val="18"/>
                <w:szCs w:val="18"/>
                <w:highlight w:val="none"/>
                <w:lang w:val="en-US" w:eastAsia="zh-CN"/>
              </w:rPr>
              <w:t>68.61</w:t>
            </w:r>
          </w:p>
        </w:tc>
        <w:tc>
          <w:tcPr>
            <w:tcW w:w="1121" w:type="dxa"/>
            <w:tcBorders>
              <w:top w:val="nil"/>
              <w:left w:val="nil"/>
              <w:bottom w:val="single" w:color="auto" w:sz="8" w:space="0"/>
              <w:right w:val="single" w:color="auto" w:sz="8" w:space="0"/>
            </w:tcBorders>
            <w:shd w:val="clear" w:color="auto" w:fill="auto"/>
            <w:noWrap/>
            <w:vAlign w:val="center"/>
          </w:tcPr>
          <w:p w14:paraId="6C6ED924">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200.71</w:t>
            </w:r>
          </w:p>
        </w:tc>
        <w:tc>
          <w:tcPr>
            <w:tcW w:w="1028" w:type="dxa"/>
            <w:tcBorders>
              <w:top w:val="nil"/>
              <w:left w:val="nil"/>
              <w:bottom w:val="single" w:color="auto" w:sz="8" w:space="0"/>
              <w:right w:val="single" w:color="auto" w:sz="8" w:space="0"/>
            </w:tcBorders>
            <w:shd w:val="clear" w:color="auto" w:fill="auto"/>
            <w:vAlign w:val="center"/>
          </w:tcPr>
          <w:p w14:paraId="738D30B0">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w:t>
            </w:r>
            <w:r>
              <w:rPr>
                <w:rFonts w:hint="eastAsia" w:eastAsia="等线"/>
                <w:color w:val="000000"/>
                <w:kern w:val="0"/>
                <w:sz w:val="18"/>
                <w:szCs w:val="18"/>
                <w:highlight w:val="none"/>
                <w:lang w:val="en-US" w:eastAsia="zh-CN"/>
              </w:rPr>
              <w:t>769.32</w:t>
            </w:r>
          </w:p>
        </w:tc>
        <w:tc>
          <w:tcPr>
            <w:tcW w:w="1028" w:type="dxa"/>
            <w:tcBorders>
              <w:top w:val="nil"/>
              <w:left w:val="nil"/>
              <w:bottom w:val="single" w:color="auto" w:sz="8" w:space="0"/>
              <w:right w:val="single" w:color="auto" w:sz="8" w:space="0"/>
            </w:tcBorders>
            <w:shd w:val="clear" w:color="auto" w:fill="auto"/>
            <w:noWrap/>
            <w:vAlign w:val="center"/>
          </w:tcPr>
          <w:p w14:paraId="0A91BE76">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w:t>
            </w:r>
            <w:r>
              <w:rPr>
                <w:rFonts w:hint="eastAsia" w:eastAsia="等线"/>
                <w:color w:val="000000"/>
                <w:kern w:val="0"/>
                <w:sz w:val="18"/>
                <w:szCs w:val="18"/>
                <w:highlight w:val="none"/>
                <w:lang w:val="en-US" w:eastAsia="zh-CN"/>
              </w:rPr>
              <w:t>768.32</w:t>
            </w:r>
          </w:p>
        </w:tc>
        <w:tc>
          <w:tcPr>
            <w:tcW w:w="948" w:type="dxa"/>
            <w:tcBorders>
              <w:top w:val="nil"/>
              <w:left w:val="nil"/>
              <w:bottom w:val="single" w:color="auto" w:sz="8" w:space="0"/>
              <w:right w:val="nil"/>
            </w:tcBorders>
            <w:shd w:val="clear" w:color="auto" w:fill="auto"/>
            <w:noWrap/>
            <w:vAlign w:val="center"/>
          </w:tcPr>
          <w:p w14:paraId="14446559">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1.00</w:t>
            </w:r>
          </w:p>
        </w:tc>
      </w:tr>
      <w:tr w14:paraId="57F7B6AF">
        <w:tblPrEx>
          <w:tblCellMar>
            <w:top w:w="0" w:type="dxa"/>
            <w:left w:w="108" w:type="dxa"/>
            <w:bottom w:w="0" w:type="dxa"/>
            <w:right w:w="108" w:type="dxa"/>
          </w:tblCellMar>
        </w:tblPrEx>
        <w:trPr>
          <w:trHeight w:val="490" w:hRule="atLeast"/>
        </w:trPr>
        <w:tc>
          <w:tcPr>
            <w:tcW w:w="447" w:type="dxa"/>
            <w:tcBorders>
              <w:top w:val="nil"/>
              <w:left w:val="nil"/>
              <w:bottom w:val="single" w:color="auto" w:sz="8" w:space="0"/>
              <w:right w:val="single" w:color="auto" w:sz="8" w:space="0"/>
            </w:tcBorders>
            <w:shd w:val="clear" w:color="auto" w:fill="auto"/>
            <w:noWrap/>
            <w:vAlign w:val="center"/>
          </w:tcPr>
          <w:p w14:paraId="173AE658">
            <w:pPr>
              <w:widowControl/>
              <w:jc w:val="center"/>
              <w:rPr>
                <w:rFonts w:eastAsia="等线"/>
                <w:color w:val="000000"/>
                <w:kern w:val="0"/>
                <w:sz w:val="18"/>
                <w:szCs w:val="18"/>
                <w:highlight w:val="none"/>
              </w:rPr>
            </w:pPr>
            <w:r>
              <w:rPr>
                <w:rFonts w:eastAsia="等线"/>
                <w:color w:val="000000"/>
                <w:kern w:val="0"/>
                <w:sz w:val="18"/>
                <w:szCs w:val="18"/>
                <w:highlight w:val="none"/>
              </w:rPr>
              <w:t>3</w:t>
            </w:r>
          </w:p>
        </w:tc>
        <w:tc>
          <w:tcPr>
            <w:tcW w:w="2206" w:type="dxa"/>
            <w:tcBorders>
              <w:top w:val="nil"/>
              <w:left w:val="nil"/>
              <w:bottom w:val="single" w:color="auto" w:sz="8" w:space="0"/>
              <w:right w:val="single" w:color="auto" w:sz="8" w:space="0"/>
            </w:tcBorders>
            <w:shd w:val="clear" w:color="auto" w:fill="auto"/>
            <w:vAlign w:val="center"/>
          </w:tcPr>
          <w:p w14:paraId="49A37D35">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湖南省城乡居民社会养老保险管理服务中心</w:t>
            </w:r>
          </w:p>
        </w:tc>
        <w:tc>
          <w:tcPr>
            <w:tcW w:w="834" w:type="dxa"/>
            <w:tcBorders>
              <w:top w:val="nil"/>
              <w:left w:val="nil"/>
              <w:bottom w:val="single" w:color="auto" w:sz="8" w:space="0"/>
              <w:right w:val="single" w:color="auto" w:sz="8" w:space="0"/>
            </w:tcBorders>
            <w:shd w:val="clear" w:color="auto" w:fill="auto"/>
            <w:noWrap/>
            <w:vAlign w:val="center"/>
          </w:tcPr>
          <w:p w14:paraId="20073FC9">
            <w:pPr>
              <w:widowControl/>
              <w:jc w:val="center"/>
              <w:rPr>
                <w:rFonts w:eastAsia="等线"/>
                <w:color w:val="000000"/>
                <w:kern w:val="0"/>
                <w:sz w:val="18"/>
                <w:szCs w:val="18"/>
                <w:highlight w:val="none"/>
              </w:rPr>
            </w:pPr>
            <w:r>
              <w:rPr>
                <w:rFonts w:eastAsia="等线"/>
                <w:color w:val="000000"/>
                <w:kern w:val="0"/>
                <w:sz w:val="18"/>
                <w:szCs w:val="18"/>
                <w:highlight w:val="none"/>
              </w:rPr>
              <w:t>-</w:t>
            </w:r>
          </w:p>
        </w:tc>
        <w:tc>
          <w:tcPr>
            <w:tcW w:w="1028" w:type="dxa"/>
            <w:tcBorders>
              <w:top w:val="nil"/>
              <w:left w:val="nil"/>
              <w:bottom w:val="single" w:color="auto" w:sz="8" w:space="0"/>
              <w:right w:val="single" w:color="auto" w:sz="8" w:space="0"/>
            </w:tcBorders>
            <w:shd w:val="clear" w:color="auto" w:fill="auto"/>
            <w:noWrap/>
            <w:vAlign w:val="center"/>
          </w:tcPr>
          <w:p w14:paraId="5126BA37">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2</w:t>
            </w:r>
            <w:r>
              <w:rPr>
                <w:rFonts w:hint="eastAsia" w:eastAsia="等线"/>
                <w:color w:val="000000"/>
                <w:kern w:val="0"/>
                <w:sz w:val="18"/>
                <w:szCs w:val="18"/>
                <w:highlight w:val="none"/>
                <w:lang w:val="en-US" w:eastAsia="zh-CN"/>
              </w:rPr>
              <w:t>32.07</w:t>
            </w:r>
          </w:p>
        </w:tc>
        <w:tc>
          <w:tcPr>
            <w:tcW w:w="1121" w:type="dxa"/>
            <w:tcBorders>
              <w:top w:val="nil"/>
              <w:left w:val="nil"/>
              <w:bottom w:val="single" w:color="auto" w:sz="8" w:space="0"/>
              <w:right w:val="single" w:color="auto" w:sz="8" w:space="0"/>
            </w:tcBorders>
            <w:shd w:val="clear" w:color="auto" w:fill="auto"/>
            <w:noWrap/>
            <w:vAlign w:val="center"/>
          </w:tcPr>
          <w:p w14:paraId="55C2B2A9">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31.83</w:t>
            </w:r>
          </w:p>
        </w:tc>
        <w:tc>
          <w:tcPr>
            <w:tcW w:w="1028" w:type="dxa"/>
            <w:tcBorders>
              <w:top w:val="nil"/>
              <w:left w:val="nil"/>
              <w:bottom w:val="single" w:color="auto" w:sz="8" w:space="0"/>
              <w:right w:val="single" w:color="auto" w:sz="8" w:space="0"/>
            </w:tcBorders>
            <w:shd w:val="clear" w:color="auto" w:fill="auto"/>
            <w:vAlign w:val="center"/>
          </w:tcPr>
          <w:p w14:paraId="294CDFB4">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2</w:t>
            </w:r>
            <w:r>
              <w:rPr>
                <w:rFonts w:hint="eastAsia" w:eastAsia="等线"/>
                <w:color w:val="000000"/>
                <w:kern w:val="0"/>
                <w:sz w:val="18"/>
                <w:szCs w:val="18"/>
                <w:highlight w:val="none"/>
                <w:lang w:val="en-US" w:eastAsia="zh-CN"/>
              </w:rPr>
              <w:t>63.90</w:t>
            </w:r>
          </w:p>
        </w:tc>
        <w:tc>
          <w:tcPr>
            <w:tcW w:w="1028" w:type="dxa"/>
            <w:tcBorders>
              <w:top w:val="nil"/>
              <w:left w:val="nil"/>
              <w:bottom w:val="single" w:color="auto" w:sz="8" w:space="0"/>
              <w:right w:val="single" w:color="auto" w:sz="8" w:space="0"/>
            </w:tcBorders>
            <w:shd w:val="clear" w:color="auto" w:fill="auto"/>
            <w:noWrap/>
            <w:vAlign w:val="center"/>
          </w:tcPr>
          <w:p w14:paraId="052EBBDC">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2</w:t>
            </w:r>
            <w:r>
              <w:rPr>
                <w:rFonts w:hint="eastAsia" w:eastAsia="等线"/>
                <w:color w:val="000000"/>
                <w:kern w:val="0"/>
                <w:sz w:val="18"/>
                <w:szCs w:val="18"/>
                <w:highlight w:val="none"/>
                <w:lang w:val="en-US" w:eastAsia="zh-CN"/>
              </w:rPr>
              <w:t>40.41</w:t>
            </w:r>
          </w:p>
        </w:tc>
        <w:tc>
          <w:tcPr>
            <w:tcW w:w="948" w:type="dxa"/>
            <w:tcBorders>
              <w:top w:val="nil"/>
              <w:left w:val="nil"/>
              <w:bottom w:val="single" w:color="auto" w:sz="8" w:space="0"/>
              <w:right w:val="nil"/>
            </w:tcBorders>
            <w:shd w:val="clear" w:color="auto" w:fill="auto"/>
            <w:noWrap/>
            <w:vAlign w:val="center"/>
          </w:tcPr>
          <w:p w14:paraId="6CE994A0">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23.</w:t>
            </w:r>
            <w:r>
              <w:rPr>
                <w:rFonts w:hint="eastAsia" w:eastAsia="等线"/>
                <w:color w:val="000000"/>
                <w:kern w:val="0"/>
                <w:sz w:val="18"/>
                <w:szCs w:val="18"/>
                <w:highlight w:val="none"/>
                <w:lang w:val="en-US" w:eastAsia="zh-CN"/>
              </w:rPr>
              <w:t>49</w:t>
            </w:r>
          </w:p>
        </w:tc>
      </w:tr>
      <w:tr w14:paraId="2A7D9100">
        <w:tblPrEx>
          <w:tblCellMar>
            <w:top w:w="0" w:type="dxa"/>
            <w:left w:w="108" w:type="dxa"/>
            <w:bottom w:w="0" w:type="dxa"/>
            <w:right w:w="108" w:type="dxa"/>
          </w:tblCellMar>
        </w:tblPrEx>
        <w:trPr>
          <w:trHeight w:val="490" w:hRule="atLeast"/>
        </w:trPr>
        <w:tc>
          <w:tcPr>
            <w:tcW w:w="447" w:type="dxa"/>
            <w:tcBorders>
              <w:top w:val="nil"/>
              <w:left w:val="nil"/>
              <w:bottom w:val="single" w:color="auto" w:sz="8" w:space="0"/>
              <w:right w:val="single" w:color="auto" w:sz="8" w:space="0"/>
            </w:tcBorders>
            <w:shd w:val="clear" w:color="auto" w:fill="auto"/>
            <w:noWrap/>
            <w:vAlign w:val="center"/>
          </w:tcPr>
          <w:p w14:paraId="55283B74">
            <w:pPr>
              <w:widowControl/>
              <w:jc w:val="center"/>
              <w:rPr>
                <w:rFonts w:eastAsia="等线"/>
                <w:color w:val="000000"/>
                <w:kern w:val="0"/>
                <w:sz w:val="18"/>
                <w:szCs w:val="18"/>
                <w:highlight w:val="none"/>
              </w:rPr>
            </w:pPr>
            <w:r>
              <w:rPr>
                <w:rFonts w:eastAsia="等线"/>
                <w:color w:val="000000"/>
                <w:kern w:val="0"/>
                <w:sz w:val="18"/>
                <w:szCs w:val="18"/>
                <w:highlight w:val="none"/>
              </w:rPr>
              <w:t>4</w:t>
            </w:r>
          </w:p>
        </w:tc>
        <w:tc>
          <w:tcPr>
            <w:tcW w:w="2206" w:type="dxa"/>
            <w:tcBorders>
              <w:top w:val="nil"/>
              <w:left w:val="nil"/>
              <w:bottom w:val="single" w:color="auto" w:sz="8" w:space="0"/>
              <w:right w:val="single" w:color="auto" w:sz="8" w:space="0"/>
            </w:tcBorders>
            <w:shd w:val="clear" w:color="auto" w:fill="auto"/>
            <w:vAlign w:val="center"/>
          </w:tcPr>
          <w:p w14:paraId="037DAFDB">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湖南省机关事业单位养老保险管理服务中心</w:t>
            </w:r>
          </w:p>
        </w:tc>
        <w:tc>
          <w:tcPr>
            <w:tcW w:w="834" w:type="dxa"/>
            <w:tcBorders>
              <w:top w:val="nil"/>
              <w:left w:val="nil"/>
              <w:bottom w:val="single" w:color="auto" w:sz="8" w:space="0"/>
              <w:right w:val="single" w:color="auto" w:sz="8" w:space="0"/>
            </w:tcBorders>
            <w:shd w:val="clear" w:color="auto" w:fill="auto"/>
            <w:noWrap/>
            <w:vAlign w:val="center"/>
          </w:tcPr>
          <w:p w14:paraId="07D00874">
            <w:pPr>
              <w:widowControl/>
              <w:jc w:val="center"/>
              <w:rPr>
                <w:rFonts w:eastAsia="等线"/>
                <w:color w:val="000000"/>
                <w:kern w:val="0"/>
                <w:sz w:val="18"/>
                <w:szCs w:val="18"/>
                <w:highlight w:val="none"/>
              </w:rPr>
            </w:pPr>
            <w:r>
              <w:rPr>
                <w:rFonts w:eastAsia="等线"/>
                <w:color w:val="000000"/>
                <w:kern w:val="0"/>
                <w:sz w:val="18"/>
                <w:szCs w:val="18"/>
                <w:highlight w:val="none"/>
              </w:rPr>
              <w:t>-</w:t>
            </w:r>
          </w:p>
        </w:tc>
        <w:tc>
          <w:tcPr>
            <w:tcW w:w="1028" w:type="dxa"/>
            <w:tcBorders>
              <w:top w:val="nil"/>
              <w:left w:val="nil"/>
              <w:bottom w:val="single" w:color="auto" w:sz="8" w:space="0"/>
              <w:right w:val="single" w:color="auto" w:sz="8" w:space="0"/>
            </w:tcBorders>
            <w:shd w:val="clear" w:color="auto" w:fill="auto"/>
            <w:noWrap/>
            <w:vAlign w:val="center"/>
          </w:tcPr>
          <w:p w14:paraId="52E0FDD7">
            <w:pPr>
              <w:widowControl/>
              <w:jc w:val="center"/>
              <w:rPr>
                <w:rFonts w:eastAsia="等线"/>
                <w:color w:val="000000"/>
                <w:kern w:val="0"/>
                <w:sz w:val="18"/>
                <w:szCs w:val="18"/>
                <w:highlight w:val="none"/>
              </w:rPr>
            </w:pPr>
            <w:r>
              <w:rPr>
                <w:rFonts w:eastAsia="等线"/>
                <w:color w:val="000000"/>
                <w:kern w:val="0"/>
                <w:sz w:val="18"/>
                <w:szCs w:val="18"/>
                <w:highlight w:val="none"/>
              </w:rPr>
              <w:t>5</w:t>
            </w:r>
            <w:r>
              <w:rPr>
                <w:rFonts w:hint="eastAsia" w:eastAsia="等线"/>
                <w:color w:val="000000"/>
                <w:kern w:val="0"/>
                <w:sz w:val="18"/>
                <w:szCs w:val="18"/>
                <w:highlight w:val="none"/>
                <w:lang w:val="en-US" w:eastAsia="zh-CN"/>
              </w:rPr>
              <w:t>07</w:t>
            </w:r>
            <w:r>
              <w:rPr>
                <w:rFonts w:eastAsia="等线"/>
                <w:color w:val="000000"/>
                <w:kern w:val="0"/>
                <w:sz w:val="18"/>
                <w:szCs w:val="18"/>
                <w:highlight w:val="none"/>
              </w:rPr>
              <w:t>.99</w:t>
            </w:r>
          </w:p>
        </w:tc>
        <w:tc>
          <w:tcPr>
            <w:tcW w:w="1121" w:type="dxa"/>
            <w:tcBorders>
              <w:top w:val="nil"/>
              <w:left w:val="nil"/>
              <w:bottom w:val="single" w:color="auto" w:sz="8" w:space="0"/>
              <w:right w:val="single" w:color="auto" w:sz="8" w:space="0"/>
            </w:tcBorders>
            <w:shd w:val="clear" w:color="auto" w:fill="auto"/>
            <w:noWrap/>
            <w:vAlign w:val="center"/>
          </w:tcPr>
          <w:p w14:paraId="1C7707AF">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62.25</w:t>
            </w:r>
          </w:p>
        </w:tc>
        <w:tc>
          <w:tcPr>
            <w:tcW w:w="1028" w:type="dxa"/>
            <w:tcBorders>
              <w:top w:val="nil"/>
              <w:left w:val="nil"/>
              <w:bottom w:val="single" w:color="auto" w:sz="8" w:space="0"/>
              <w:right w:val="single" w:color="auto" w:sz="8" w:space="0"/>
            </w:tcBorders>
            <w:shd w:val="clear" w:color="auto" w:fill="auto"/>
            <w:noWrap/>
            <w:vAlign w:val="center"/>
          </w:tcPr>
          <w:p w14:paraId="1D6E919A">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5</w:t>
            </w:r>
            <w:r>
              <w:rPr>
                <w:rFonts w:hint="eastAsia" w:eastAsia="等线"/>
                <w:color w:val="000000"/>
                <w:kern w:val="0"/>
                <w:sz w:val="18"/>
                <w:szCs w:val="18"/>
                <w:highlight w:val="none"/>
                <w:lang w:val="en-US" w:eastAsia="zh-CN"/>
              </w:rPr>
              <w:t>70.24</w:t>
            </w:r>
          </w:p>
        </w:tc>
        <w:tc>
          <w:tcPr>
            <w:tcW w:w="1028" w:type="dxa"/>
            <w:tcBorders>
              <w:top w:val="nil"/>
              <w:left w:val="nil"/>
              <w:bottom w:val="single" w:color="auto" w:sz="8" w:space="0"/>
              <w:right w:val="single" w:color="auto" w:sz="8" w:space="0"/>
            </w:tcBorders>
            <w:shd w:val="clear" w:color="auto" w:fill="auto"/>
            <w:noWrap/>
            <w:vAlign w:val="center"/>
          </w:tcPr>
          <w:p w14:paraId="35D4904C">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5</w:t>
            </w:r>
            <w:r>
              <w:rPr>
                <w:rFonts w:hint="eastAsia" w:eastAsia="等线"/>
                <w:color w:val="000000"/>
                <w:kern w:val="0"/>
                <w:sz w:val="18"/>
                <w:szCs w:val="18"/>
                <w:highlight w:val="none"/>
                <w:lang w:val="en-US" w:eastAsia="zh-CN"/>
              </w:rPr>
              <w:t>26.56</w:t>
            </w:r>
          </w:p>
        </w:tc>
        <w:tc>
          <w:tcPr>
            <w:tcW w:w="948" w:type="dxa"/>
            <w:tcBorders>
              <w:top w:val="nil"/>
              <w:left w:val="nil"/>
              <w:bottom w:val="single" w:color="auto" w:sz="8" w:space="0"/>
              <w:right w:val="nil"/>
            </w:tcBorders>
            <w:shd w:val="clear" w:color="auto" w:fill="auto"/>
            <w:noWrap/>
            <w:vAlign w:val="center"/>
          </w:tcPr>
          <w:p w14:paraId="36B074CC">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43.68</w:t>
            </w:r>
          </w:p>
        </w:tc>
      </w:tr>
      <w:tr w14:paraId="3B893C8F">
        <w:tblPrEx>
          <w:tblCellMar>
            <w:top w:w="0" w:type="dxa"/>
            <w:left w:w="108" w:type="dxa"/>
            <w:bottom w:w="0" w:type="dxa"/>
            <w:right w:w="108" w:type="dxa"/>
          </w:tblCellMar>
        </w:tblPrEx>
        <w:trPr>
          <w:trHeight w:val="290" w:hRule="atLeast"/>
        </w:trPr>
        <w:tc>
          <w:tcPr>
            <w:tcW w:w="447" w:type="dxa"/>
            <w:tcBorders>
              <w:top w:val="nil"/>
              <w:left w:val="nil"/>
              <w:bottom w:val="single" w:color="auto" w:sz="8" w:space="0"/>
              <w:right w:val="single" w:color="auto" w:sz="8" w:space="0"/>
            </w:tcBorders>
            <w:shd w:val="clear" w:color="auto" w:fill="auto"/>
            <w:noWrap/>
            <w:vAlign w:val="center"/>
          </w:tcPr>
          <w:p w14:paraId="2E306D24">
            <w:pPr>
              <w:widowControl/>
              <w:jc w:val="center"/>
              <w:rPr>
                <w:rFonts w:eastAsia="等线"/>
                <w:color w:val="000000"/>
                <w:kern w:val="0"/>
                <w:sz w:val="18"/>
                <w:szCs w:val="18"/>
                <w:highlight w:val="none"/>
              </w:rPr>
            </w:pPr>
            <w:r>
              <w:rPr>
                <w:rFonts w:eastAsia="等线"/>
                <w:color w:val="000000"/>
                <w:kern w:val="0"/>
                <w:sz w:val="18"/>
                <w:szCs w:val="18"/>
                <w:highlight w:val="none"/>
              </w:rPr>
              <w:t>5</w:t>
            </w:r>
          </w:p>
        </w:tc>
        <w:tc>
          <w:tcPr>
            <w:tcW w:w="2206" w:type="dxa"/>
            <w:tcBorders>
              <w:top w:val="nil"/>
              <w:left w:val="nil"/>
              <w:bottom w:val="single" w:color="auto" w:sz="8" w:space="0"/>
              <w:right w:val="single" w:color="auto" w:sz="8" w:space="0"/>
            </w:tcBorders>
            <w:shd w:val="clear" w:color="auto" w:fill="auto"/>
            <w:vAlign w:val="center"/>
          </w:tcPr>
          <w:p w14:paraId="12D7C424">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湖南省人力资源服务中心</w:t>
            </w:r>
          </w:p>
        </w:tc>
        <w:tc>
          <w:tcPr>
            <w:tcW w:w="834" w:type="dxa"/>
            <w:tcBorders>
              <w:top w:val="nil"/>
              <w:left w:val="nil"/>
              <w:bottom w:val="single" w:color="auto" w:sz="8" w:space="0"/>
              <w:right w:val="single" w:color="auto" w:sz="8" w:space="0"/>
            </w:tcBorders>
            <w:shd w:val="clear" w:color="auto" w:fill="auto"/>
            <w:noWrap/>
            <w:vAlign w:val="center"/>
          </w:tcPr>
          <w:p w14:paraId="7A8C462F">
            <w:pPr>
              <w:widowControl/>
              <w:jc w:val="center"/>
              <w:rPr>
                <w:rFonts w:eastAsia="等线"/>
                <w:color w:val="000000"/>
                <w:kern w:val="0"/>
                <w:sz w:val="18"/>
                <w:szCs w:val="18"/>
                <w:highlight w:val="none"/>
              </w:rPr>
            </w:pPr>
            <w:r>
              <w:rPr>
                <w:rFonts w:eastAsia="等线"/>
                <w:color w:val="000000"/>
                <w:kern w:val="0"/>
                <w:sz w:val="18"/>
                <w:szCs w:val="18"/>
                <w:highlight w:val="none"/>
              </w:rPr>
              <w:t>-</w:t>
            </w:r>
          </w:p>
        </w:tc>
        <w:tc>
          <w:tcPr>
            <w:tcW w:w="1028" w:type="dxa"/>
            <w:tcBorders>
              <w:top w:val="nil"/>
              <w:left w:val="nil"/>
              <w:bottom w:val="single" w:color="auto" w:sz="8" w:space="0"/>
              <w:right w:val="single" w:color="auto" w:sz="8" w:space="0"/>
            </w:tcBorders>
            <w:shd w:val="clear" w:color="auto" w:fill="auto"/>
            <w:noWrap/>
            <w:vAlign w:val="center"/>
          </w:tcPr>
          <w:p w14:paraId="726D603F">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4</w:t>
            </w:r>
            <w:r>
              <w:rPr>
                <w:rFonts w:hint="eastAsia" w:eastAsia="等线"/>
                <w:color w:val="000000"/>
                <w:kern w:val="0"/>
                <w:sz w:val="18"/>
                <w:szCs w:val="18"/>
                <w:highlight w:val="none"/>
                <w:lang w:val="en-US" w:eastAsia="zh-CN"/>
              </w:rPr>
              <w:t>25.54</w:t>
            </w:r>
          </w:p>
        </w:tc>
        <w:tc>
          <w:tcPr>
            <w:tcW w:w="1121" w:type="dxa"/>
            <w:tcBorders>
              <w:top w:val="nil"/>
              <w:left w:val="nil"/>
              <w:bottom w:val="single" w:color="auto" w:sz="8" w:space="0"/>
              <w:right w:val="single" w:color="auto" w:sz="8" w:space="0"/>
            </w:tcBorders>
            <w:shd w:val="clear" w:color="auto" w:fill="auto"/>
            <w:noWrap/>
            <w:vAlign w:val="center"/>
          </w:tcPr>
          <w:p w14:paraId="691255BB">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17.16</w:t>
            </w:r>
          </w:p>
        </w:tc>
        <w:tc>
          <w:tcPr>
            <w:tcW w:w="1028" w:type="dxa"/>
            <w:tcBorders>
              <w:top w:val="nil"/>
              <w:left w:val="nil"/>
              <w:bottom w:val="single" w:color="auto" w:sz="8" w:space="0"/>
              <w:right w:val="single" w:color="auto" w:sz="8" w:space="0"/>
            </w:tcBorders>
            <w:shd w:val="clear" w:color="auto" w:fill="auto"/>
            <w:vAlign w:val="center"/>
          </w:tcPr>
          <w:p w14:paraId="7F6FE915">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442.70</w:t>
            </w:r>
          </w:p>
        </w:tc>
        <w:tc>
          <w:tcPr>
            <w:tcW w:w="1028" w:type="dxa"/>
            <w:tcBorders>
              <w:top w:val="nil"/>
              <w:left w:val="nil"/>
              <w:bottom w:val="single" w:color="auto" w:sz="8" w:space="0"/>
              <w:right w:val="single" w:color="auto" w:sz="8" w:space="0"/>
            </w:tcBorders>
            <w:shd w:val="clear" w:color="auto" w:fill="auto"/>
            <w:noWrap/>
            <w:vAlign w:val="center"/>
          </w:tcPr>
          <w:p w14:paraId="034DB807">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421.21</w:t>
            </w:r>
          </w:p>
        </w:tc>
        <w:tc>
          <w:tcPr>
            <w:tcW w:w="948" w:type="dxa"/>
            <w:tcBorders>
              <w:top w:val="nil"/>
              <w:left w:val="nil"/>
              <w:bottom w:val="single" w:color="auto" w:sz="8" w:space="0"/>
              <w:right w:val="nil"/>
            </w:tcBorders>
            <w:shd w:val="clear" w:color="auto" w:fill="auto"/>
            <w:noWrap/>
            <w:vAlign w:val="center"/>
          </w:tcPr>
          <w:p w14:paraId="57999F83">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21.49</w:t>
            </w:r>
          </w:p>
        </w:tc>
      </w:tr>
      <w:tr w14:paraId="76D034BB">
        <w:tblPrEx>
          <w:tblCellMar>
            <w:top w:w="0" w:type="dxa"/>
            <w:left w:w="108" w:type="dxa"/>
            <w:bottom w:w="0" w:type="dxa"/>
            <w:right w:w="108" w:type="dxa"/>
          </w:tblCellMar>
        </w:tblPrEx>
        <w:trPr>
          <w:trHeight w:val="290" w:hRule="atLeast"/>
        </w:trPr>
        <w:tc>
          <w:tcPr>
            <w:tcW w:w="447" w:type="dxa"/>
            <w:tcBorders>
              <w:top w:val="nil"/>
              <w:left w:val="nil"/>
              <w:bottom w:val="single" w:color="auto" w:sz="8" w:space="0"/>
              <w:right w:val="single" w:color="auto" w:sz="8" w:space="0"/>
            </w:tcBorders>
            <w:shd w:val="clear" w:color="auto" w:fill="auto"/>
            <w:noWrap/>
            <w:vAlign w:val="center"/>
          </w:tcPr>
          <w:p w14:paraId="1AE50DDF">
            <w:pPr>
              <w:widowControl/>
              <w:jc w:val="center"/>
              <w:rPr>
                <w:rFonts w:eastAsia="等线"/>
                <w:color w:val="000000"/>
                <w:kern w:val="0"/>
                <w:sz w:val="18"/>
                <w:szCs w:val="18"/>
                <w:highlight w:val="none"/>
              </w:rPr>
            </w:pPr>
            <w:r>
              <w:rPr>
                <w:rFonts w:eastAsia="等线"/>
                <w:color w:val="000000"/>
                <w:kern w:val="0"/>
                <w:sz w:val="18"/>
                <w:szCs w:val="18"/>
                <w:highlight w:val="none"/>
              </w:rPr>
              <w:t>6</w:t>
            </w:r>
          </w:p>
        </w:tc>
        <w:tc>
          <w:tcPr>
            <w:tcW w:w="2206" w:type="dxa"/>
            <w:tcBorders>
              <w:top w:val="nil"/>
              <w:left w:val="nil"/>
              <w:bottom w:val="single" w:color="auto" w:sz="8" w:space="0"/>
              <w:right w:val="single" w:color="auto" w:sz="8" w:space="0"/>
            </w:tcBorders>
            <w:shd w:val="clear" w:color="auto" w:fill="auto"/>
            <w:vAlign w:val="center"/>
          </w:tcPr>
          <w:p w14:paraId="6051E845">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湖南省就业服务中心</w:t>
            </w:r>
          </w:p>
        </w:tc>
        <w:tc>
          <w:tcPr>
            <w:tcW w:w="834" w:type="dxa"/>
            <w:tcBorders>
              <w:top w:val="nil"/>
              <w:left w:val="nil"/>
              <w:bottom w:val="single" w:color="auto" w:sz="8" w:space="0"/>
              <w:right w:val="single" w:color="auto" w:sz="8" w:space="0"/>
            </w:tcBorders>
            <w:shd w:val="clear" w:color="auto" w:fill="auto"/>
            <w:noWrap/>
            <w:vAlign w:val="center"/>
          </w:tcPr>
          <w:p w14:paraId="41488B1D">
            <w:pPr>
              <w:widowControl/>
              <w:jc w:val="center"/>
              <w:rPr>
                <w:rFonts w:eastAsia="等线"/>
                <w:color w:val="000000"/>
                <w:kern w:val="0"/>
                <w:sz w:val="18"/>
                <w:szCs w:val="18"/>
                <w:highlight w:val="none"/>
              </w:rPr>
            </w:pPr>
          </w:p>
        </w:tc>
        <w:tc>
          <w:tcPr>
            <w:tcW w:w="1028" w:type="dxa"/>
            <w:tcBorders>
              <w:top w:val="nil"/>
              <w:left w:val="nil"/>
              <w:bottom w:val="single" w:color="auto" w:sz="8" w:space="0"/>
              <w:right w:val="single" w:color="auto" w:sz="8" w:space="0"/>
            </w:tcBorders>
            <w:shd w:val="clear" w:color="auto" w:fill="auto"/>
            <w:noWrap/>
            <w:vAlign w:val="center"/>
          </w:tcPr>
          <w:p w14:paraId="170DAE88">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1,4</w:t>
            </w:r>
            <w:r>
              <w:rPr>
                <w:rFonts w:hint="eastAsia" w:eastAsia="等线"/>
                <w:color w:val="000000"/>
                <w:kern w:val="0"/>
                <w:sz w:val="18"/>
                <w:szCs w:val="18"/>
                <w:highlight w:val="none"/>
                <w:lang w:val="en-US" w:eastAsia="zh-CN"/>
              </w:rPr>
              <w:t>40.45</w:t>
            </w:r>
          </w:p>
        </w:tc>
        <w:tc>
          <w:tcPr>
            <w:tcW w:w="1121" w:type="dxa"/>
            <w:tcBorders>
              <w:top w:val="nil"/>
              <w:left w:val="nil"/>
              <w:bottom w:val="single" w:color="auto" w:sz="8" w:space="0"/>
              <w:right w:val="single" w:color="auto" w:sz="8" w:space="0"/>
            </w:tcBorders>
            <w:shd w:val="clear" w:color="auto" w:fill="auto"/>
            <w:noWrap/>
            <w:vAlign w:val="center"/>
          </w:tcPr>
          <w:p w14:paraId="02ED4677">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173.58</w:t>
            </w:r>
          </w:p>
        </w:tc>
        <w:tc>
          <w:tcPr>
            <w:tcW w:w="1028" w:type="dxa"/>
            <w:tcBorders>
              <w:top w:val="nil"/>
              <w:left w:val="nil"/>
              <w:bottom w:val="single" w:color="auto" w:sz="8" w:space="0"/>
              <w:right w:val="single" w:color="auto" w:sz="8" w:space="0"/>
            </w:tcBorders>
            <w:shd w:val="clear" w:color="auto" w:fill="auto"/>
            <w:vAlign w:val="center"/>
          </w:tcPr>
          <w:p w14:paraId="63B4F967">
            <w:pPr>
              <w:widowControl/>
              <w:jc w:val="center"/>
              <w:rPr>
                <w:rFonts w:hint="default" w:eastAsia="等线"/>
                <w:kern w:val="0"/>
                <w:sz w:val="18"/>
                <w:szCs w:val="18"/>
                <w:highlight w:val="none"/>
                <w:lang w:val="en-US" w:eastAsia="zh-CN"/>
              </w:rPr>
            </w:pPr>
            <w:r>
              <w:rPr>
                <w:rFonts w:eastAsia="等线"/>
                <w:kern w:val="0"/>
                <w:sz w:val="18"/>
                <w:szCs w:val="18"/>
                <w:highlight w:val="none"/>
              </w:rPr>
              <w:t>1,</w:t>
            </w:r>
            <w:r>
              <w:rPr>
                <w:rFonts w:hint="eastAsia" w:eastAsia="等线"/>
                <w:kern w:val="0"/>
                <w:sz w:val="18"/>
                <w:szCs w:val="18"/>
                <w:highlight w:val="none"/>
                <w:lang w:val="en-US" w:eastAsia="zh-CN"/>
              </w:rPr>
              <w:t>614.03</w:t>
            </w:r>
          </w:p>
        </w:tc>
        <w:tc>
          <w:tcPr>
            <w:tcW w:w="1028" w:type="dxa"/>
            <w:tcBorders>
              <w:top w:val="nil"/>
              <w:left w:val="nil"/>
              <w:bottom w:val="single" w:color="auto" w:sz="8" w:space="0"/>
              <w:right w:val="single" w:color="auto" w:sz="8" w:space="0"/>
            </w:tcBorders>
            <w:shd w:val="clear" w:color="auto" w:fill="auto"/>
            <w:noWrap/>
            <w:vAlign w:val="center"/>
          </w:tcPr>
          <w:p w14:paraId="30D0CAC6">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w:t>
            </w:r>
            <w:r>
              <w:rPr>
                <w:rFonts w:hint="eastAsia" w:eastAsia="等线"/>
                <w:color w:val="000000"/>
                <w:kern w:val="0"/>
                <w:sz w:val="18"/>
                <w:szCs w:val="18"/>
                <w:highlight w:val="none"/>
                <w:lang w:val="en-US" w:eastAsia="zh-CN"/>
              </w:rPr>
              <w:t>607.52</w:t>
            </w:r>
          </w:p>
        </w:tc>
        <w:tc>
          <w:tcPr>
            <w:tcW w:w="948" w:type="dxa"/>
            <w:tcBorders>
              <w:top w:val="nil"/>
              <w:left w:val="nil"/>
              <w:bottom w:val="single" w:color="auto" w:sz="8" w:space="0"/>
              <w:right w:val="nil"/>
            </w:tcBorders>
            <w:shd w:val="clear" w:color="auto" w:fill="auto"/>
            <w:noWrap/>
            <w:vAlign w:val="center"/>
          </w:tcPr>
          <w:p w14:paraId="54FFDD0E">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6.51</w:t>
            </w:r>
          </w:p>
        </w:tc>
      </w:tr>
      <w:tr w14:paraId="4301FB9B">
        <w:tblPrEx>
          <w:tblCellMar>
            <w:top w:w="0" w:type="dxa"/>
            <w:left w:w="108" w:type="dxa"/>
            <w:bottom w:w="0" w:type="dxa"/>
            <w:right w:w="108" w:type="dxa"/>
          </w:tblCellMar>
        </w:tblPrEx>
        <w:trPr>
          <w:trHeight w:val="90" w:hRule="atLeast"/>
        </w:trPr>
        <w:tc>
          <w:tcPr>
            <w:tcW w:w="447" w:type="dxa"/>
            <w:tcBorders>
              <w:top w:val="nil"/>
              <w:left w:val="nil"/>
              <w:bottom w:val="single" w:color="auto" w:sz="8" w:space="0"/>
              <w:right w:val="single" w:color="auto" w:sz="8" w:space="0"/>
            </w:tcBorders>
            <w:shd w:val="clear" w:color="auto" w:fill="auto"/>
            <w:noWrap/>
            <w:vAlign w:val="center"/>
          </w:tcPr>
          <w:p w14:paraId="2C83D130">
            <w:pPr>
              <w:widowControl/>
              <w:jc w:val="center"/>
              <w:rPr>
                <w:rFonts w:eastAsia="等线"/>
                <w:color w:val="000000"/>
                <w:kern w:val="0"/>
                <w:sz w:val="18"/>
                <w:szCs w:val="18"/>
                <w:highlight w:val="none"/>
              </w:rPr>
            </w:pPr>
            <w:r>
              <w:rPr>
                <w:rFonts w:eastAsia="等线"/>
                <w:color w:val="000000"/>
                <w:kern w:val="0"/>
                <w:sz w:val="18"/>
                <w:szCs w:val="18"/>
                <w:highlight w:val="none"/>
              </w:rPr>
              <w:t>7</w:t>
            </w:r>
          </w:p>
        </w:tc>
        <w:tc>
          <w:tcPr>
            <w:tcW w:w="2206" w:type="dxa"/>
            <w:tcBorders>
              <w:top w:val="nil"/>
              <w:left w:val="nil"/>
              <w:bottom w:val="single" w:color="auto" w:sz="8" w:space="0"/>
              <w:right w:val="single" w:color="auto" w:sz="8" w:space="0"/>
            </w:tcBorders>
            <w:shd w:val="clear" w:color="auto" w:fill="auto"/>
            <w:vAlign w:val="center"/>
          </w:tcPr>
          <w:p w14:paraId="57FCDD9A">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湖南省人民武装学校</w:t>
            </w:r>
          </w:p>
        </w:tc>
        <w:tc>
          <w:tcPr>
            <w:tcW w:w="834" w:type="dxa"/>
            <w:tcBorders>
              <w:top w:val="nil"/>
              <w:left w:val="nil"/>
              <w:bottom w:val="single" w:color="auto" w:sz="8" w:space="0"/>
              <w:right w:val="single" w:color="auto" w:sz="8" w:space="0"/>
            </w:tcBorders>
            <w:shd w:val="clear" w:color="auto" w:fill="auto"/>
            <w:noWrap/>
            <w:vAlign w:val="center"/>
          </w:tcPr>
          <w:p w14:paraId="1ACE3B82">
            <w:pPr>
              <w:widowControl/>
              <w:jc w:val="center"/>
              <w:rPr>
                <w:rFonts w:eastAsia="等线"/>
                <w:color w:val="000000"/>
                <w:kern w:val="0"/>
                <w:sz w:val="18"/>
                <w:szCs w:val="18"/>
                <w:highlight w:val="none"/>
              </w:rPr>
            </w:pPr>
          </w:p>
        </w:tc>
        <w:tc>
          <w:tcPr>
            <w:tcW w:w="1028" w:type="dxa"/>
            <w:tcBorders>
              <w:top w:val="nil"/>
              <w:left w:val="nil"/>
              <w:bottom w:val="single" w:color="auto" w:sz="8" w:space="0"/>
              <w:right w:val="single" w:color="auto" w:sz="8" w:space="0"/>
            </w:tcBorders>
            <w:shd w:val="clear" w:color="auto" w:fill="auto"/>
            <w:noWrap/>
            <w:vAlign w:val="center"/>
          </w:tcPr>
          <w:p w14:paraId="74CDA68A">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8</w:t>
            </w:r>
            <w:r>
              <w:rPr>
                <w:rFonts w:hint="eastAsia" w:eastAsia="等线"/>
                <w:color w:val="000000"/>
                <w:kern w:val="0"/>
                <w:sz w:val="18"/>
                <w:szCs w:val="18"/>
                <w:highlight w:val="none"/>
                <w:lang w:val="en-US" w:eastAsia="zh-CN"/>
              </w:rPr>
              <w:t>26.76</w:t>
            </w:r>
          </w:p>
        </w:tc>
        <w:tc>
          <w:tcPr>
            <w:tcW w:w="1121" w:type="dxa"/>
            <w:tcBorders>
              <w:top w:val="nil"/>
              <w:left w:val="nil"/>
              <w:bottom w:val="single" w:color="auto" w:sz="8" w:space="0"/>
              <w:right w:val="single" w:color="auto" w:sz="8" w:space="0"/>
            </w:tcBorders>
            <w:shd w:val="clear" w:color="auto" w:fill="auto"/>
            <w:noWrap/>
            <w:vAlign w:val="center"/>
          </w:tcPr>
          <w:p w14:paraId="107B04CE">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0.50</w:t>
            </w:r>
          </w:p>
        </w:tc>
        <w:tc>
          <w:tcPr>
            <w:tcW w:w="1028" w:type="dxa"/>
            <w:tcBorders>
              <w:top w:val="nil"/>
              <w:left w:val="nil"/>
              <w:bottom w:val="single" w:color="auto" w:sz="8" w:space="0"/>
              <w:right w:val="single" w:color="auto" w:sz="8" w:space="0"/>
            </w:tcBorders>
            <w:shd w:val="clear" w:color="auto" w:fill="auto"/>
            <w:vAlign w:val="center"/>
          </w:tcPr>
          <w:p w14:paraId="5A74124D">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827.26</w:t>
            </w:r>
          </w:p>
        </w:tc>
        <w:tc>
          <w:tcPr>
            <w:tcW w:w="1028" w:type="dxa"/>
            <w:tcBorders>
              <w:top w:val="nil"/>
              <w:left w:val="nil"/>
              <w:bottom w:val="single" w:color="auto" w:sz="8" w:space="0"/>
              <w:right w:val="single" w:color="auto" w:sz="8" w:space="0"/>
            </w:tcBorders>
            <w:shd w:val="clear" w:color="auto" w:fill="auto"/>
            <w:noWrap/>
            <w:vAlign w:val="center"/>
          </w:tcPr>
          <w:p w14:paraId="31EEE80B">
            <w:pPr>
              <w:widowControl/>
              <w:jc w:val="center"/>
              <w:rPr>
                <w:rFonts w:eastAsia="等线"/>
                <w:color w:val="000000"/>
                <w:kern w:val="0"/>
                <w:sz w:val="18"/>
                <w:szCs w:val="18"/>
                <w:highlight w:val="none"/>
              </w:rPr>
            </w:pPr>
            <w:r>
              <w:rPr>
                <w:rFonts w:hint="eastAsia" w:eastAsia="等线"/>
                <w:kern w:val="0"/>
                <w:sz w:val="18"/>
                <w:szCs w:val="18"/>
                <w:highlight w:val="none"/>
                <w:lang w:val="en-US" w:eastAsia="zh-CN"/>
              </w:rPr>
              <w:t>826.76</w:t>
            </w:r>
          </w:p>
        </w:tc>
        <w:tc>
          <w:tcPr>
            <w:tcW w:w="948" w:type="dxa"/>
            <w:tcBorders>
              <w:top w:val="nil"/>
              <w:left w:val="nil"/>
              <w:bottom w:val="single" w:color="auto" w:sz="8" w:space="0"/>
              <w:right w:val="nil"/>
            </w:tcBorders>
            <w:shd w:val="clear" w:color="auto" w:fill="auto"/>
            <w:noWrap/>
            <w:vAlign w:val="center"/>
          </w:tcPr>
          <w:p w14:paraId="3548C032">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0.50</w:t>
            </w:r>
          </w:p>
        </w:tc>
      </w:tr>
      <w:tr w14:paraId="5319FCED">
        <w:tblPrEx>
          <w:tblCellMar>
            <w:top w:w="0" w:type="dxa"/>
            <w:left w:w="108" w:type="dxa"/>
            <w:bottom w:w="0" w:type="dxa"/>
            <w:right w:w="108" w:type="dxa"/>
          </w:tblCellMar>
        </w:tblPrEx>
        <w:trPr>
          <w:trHeight w:val="290" w:hRule="atLeast"/>
        </w:trPr>
        <w:tc>
          <w:tcPr>
            <w:tcW w:w="447" w:type="dxa"/>
            <w:tcBorders>
              <w:top w:val="nil"/>
              <w:left w:val="nil"/>
              <w:bottom w:val="single" w:color="auto" w:sz="4" w:space="0"/>
              <w:right w:val="single" w:color="auto" w:sz="8" w:space="0"/>
            </w:tcBorders>
            <w:shd w:val="clear" w:color="auto" w:fill="auto"/>
            <w:noWrap/>
            <w:vAlign w:val="center"/>
          </w:tcPr>
          <w:p w14:paraId="3E1E410D">
            <w:pPr>
              <w:widowControl/>
              <w:jc w:val="center"/>
              <w:rPr>
                <w:rFonts w:eastAsia="等线"/>
                <w:color w:val="000000"/>
                <w:kern w:val="0"/>
                <w:sz w:val="18"/>
                <w:szCs w:val="18"/>
                <w:highlight w:val="none"/>
              </w:rPr>
            </w:pPr>
            <w:r>
              <w:rPr>
                <w:rFonts w:eastAsia="等线"/>
                <w:color w:val="000000"/>
                <w:kern w:val="0"/>
                <w:sz w:val="18"/>
                <w:szCs w:val="18"/>
                <w:highlight w:val="none"/>
              </w:rPr>
              <w:t>8</w:t>
            </w:r>
          </w:p>
        </w:tc>
        <w:tc>
          <w:tcPr>
            <w:tcW w:w="2206" w:type="dxa"/>
            <w:tcBorders>
              <w:top w:val="nil"/>
              <w:left w:val="nil"/>
              <w:bottom w:val="single" w:color="auto" w:sz="4" w:space="0"/>
              <w:right w:val="single" w:color="auto" w:sz="8" w:space="0"/>
            </w:tcBorders>
            <w:shd w:val="clear" w:color="auto" w:fill="auto"/>
            <w:vAlign w:val="center"/>
          </w:tcPr>
          <w:p w14:paraId="29B25E19">
            <w:pPr>
              <w:widowControl/>
              <w:jc w:val="center"/>
              <w:rPr>
                <w:rFonts w:hint="eastAsia" w:ascii="仿宋_GB2312" w:hAnsi="等线" w:eastAsia="仿宋_GB2312" w:cs="宋体"/>
                <w:color w:val="000000"/>
                <w:kern w:val="0"/>
                <w:sz w:val="18"/>
                <w:szCs w:val="18"/>
                <w:highlight w:val="none"/>
              </w:rPr>
            </w:pPr>
            <w:r>
              <w:rPr>
                <w:rFonts w:hint="eastAsia" w:ascii="仿宋_GB2312" w:hAnsi="等线" w:eastAsia="仿宋_GB2312" w:cs="宋体"/>
                <w:color w:val="000000"/>
                <w:kern w:val="0"/>
                <w:sz w:val="18"/>
                <w:szCs w:val="18"/>
                <w:highlight w:val="none"/>
              </w:rPr>
              <w:t>湖南省人事考试院</w:t>
            </w:r>
          </w:p>
        </w:tc>
        <w:tc>
          <w:tcPr>
            <w:tcW w:w="834" w:type="dxa"/>
            <w:tcBorders>
              <w:top w:val="nil"/>
              <w:left w:val="nil"/>
              <w:bottom w:val="single" w:color="auto" w:sz="4" w:space="0"/>
              <w:right w:val="single" w:color="auto" w:sz="8" w:space="0"/>
            </w:tcBorders>
            <w:shd w:val="clear" w:color="auto" w:fill="auto"/>
            <w:noWrap/>
            <w:vAlign w:val="center"/>
          </w:tcPr>
          <w:p w14:paraId="3AD0BEC6">
            <w:pPr>
              <w:widowControl/>
              <w:jc w:val="center"/>
              <w:rPr>
                <w:rFonts w:hint="default" w:eastAsia="等线"/>
                <w:color w:val="000000"/>
                <w:kern w:val="0"/>
                <w:sz w:val="18"/>
                <w:szCs w:val="18"/>
                <w:highlight w:val="none"/>
                <w:lang w:val="en-US" w:eastAsia="zh-CN"/>
              </w:rPr>
            </w:pPr>
          </w:p>
        </w:tc>
        <w:tc>
          <w:tcPr>
            <w:tcW w:w="1028" w:type="dxa"/>
            <w:tcBorders>
              <w:top w:val="nil"/>
              <w:left w:val="nil"/>
              <w:bottom w:val="single" w:color="auto" w:sz="4" w:space="0"/>
              <w:right w:val="single" w:color="auto" w:sz="8" w:space="0"/>
            </w:tcBorders>
            <w:shd w:val="clear" w:color="auto" w:fill="auto"/>
            <w:noWrap/>
            <w:vAlign w:val="center"/>
          </w:tcPr>
          <w:p w14:paraId="753375A9">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w:t>
            </w:r>
            <w:r>
              <w:rPr>
                <w:rFonts w:hint="eastAsia" w:eastAsia="等线"/>
                <w:color w:val="000000"/>
                <w:kern w:val="0"/>
                <w:sz w:val="18"/>
                <w:szCs w:val="18"/>
                <w:highlight w:val="none"/>
                <w:lang w:val="en-US" w:eastAsia="zh-CN"/>
              </w:rPr>
              <w:t>471.27</w:t>
            </w:r>
          </w:p>
        </w:tc>
        <w:tc>
          <w:tcPr>
            <w:tcW w:w="1121" w:type="dxa"/>
            <w:tcBorders>
              <w:top w:val="nil"/>
              <w:left w:val="nil"/>
              <w:bottom w:val="single" w:color="auto" w:sz="4" w:space="0"/>
              <w:right w:val="single" w:color="auto" w:sz="8" w:space="0"/>
            </w:tcBorders>
            <w:shd w:val="clear" w:color="auto" w:fill="auto"/>
            <w:noWrap/>
            <w:vAlign w:val="center"/>
          </w:tcPr>
          <w:p w14:paraId="5235DC63">
            <w:pPr>
              <w:widowControl/>
              <w:jc w:val="center"/>
              <w:rPr>
                <w:rFonts w:hint="default" w:eastAsia="等线"/>
                <w:kern w:val="0"/>
                <w:sz w:val="18"/>
                <w:szCs w:val="18"/>
                <w:highlight w:val="none"/>
                <w:lang w:val="en-US" w:eastAsia="zh-CN"/>
              </w:rPr>
            </w:pPr>
            <w:r>
              <w:rPr>
                <w:rFonts w:hint="eastAsia" w:eastAsia="等线"/>
                <w:kern w:val="0"/>
                <w:sz w:val="18"/>
                <w:szCs w:val="18"/>
                <w:highlight w:val="none"/>
                <w:lang w:val="en-US" w:eastAsia="zh-CN"/>
              </w:rPr>
              <w:t>55.27</w:t>
            </w:r>
          </w:p>
        </w:tc>
        <w:tc>
          <w:tcPr>
            <w:tcW w:w="1028" w:type="dxa"/>
            <w:tcBorders>
              <w:top w:val="nil"/>
              <w:left w:val="nil"/>
              <w:bottom w:val="single" w:color="auto" w:sz="4" w:space="0"/>
              <w:right w:val="single" w:color="auto" w:sz="8" w:space="0"/>
            </w:tcBorders>
            <w:shd w:val="clear" w:color="auto" w:fill="auto"/>
            <w:vAlign w:val="center"/>
          </w:tcPr>
          <w:p w14:paraId="7754B5E0">
            <w:pPr>
              <w:widowControl/>
              <w:jc w:val="center"/>
              <w:rPr>
                <w:rFonts w:hint="default" w:eastAsia="等线"/>
                <w:kern w:val="0"/>
                <w:sz w:val="18"/>
                <w:szCs w:val="18"/>
                <w:highlight w:val="none"/>
                <w:lang w:val="en-US" w:eastAsia="zh-CN"/>
              </w:rPr>
            </w:pPr>
            <w:r>
              <w:rPr>
                <w:rFonts w:eastAsia="等线"/>
                <w:kern w:val="0"/>
                <w:sz w:val="18"/>
                <w:szCs w:val="18"/>
                <w:highlight w:val="none"/>
              </w:rPr>
              <w:t>1,</w:t>
            </w:r>
            <w:r>
              <w:rPr>
                <w:rFonts w:hint="eastAsia" w:eastAsia="等线"/>
                <w:kern w:val="0"/>
                <w:sz w:val="18"/>
                <w:szCs w:val="18"/>
                <w:highlight w:val="none"/>
                <w:lang w:val="en-US" w:eastAsia="zh-CN"/>
              </w:rPr>
              <w:t>526.54</w:t>
            </w:r>
          </w:p>
        </w:tc>
        <w:tc>
          <w:tcPr>
            <w:tcW w:w="1028" w:type="dxa"/>
            <w:tcBorders>
              <w:top w:val="nil"/>
              <w:left w:val="nil"/>
              <w:bottom w:val="single" w:color="auto" w:sz="4" w:space="0"/>
              <w:right w:val="single" w:color="auto" w:sz="8" w:space="0"/>
            </w:tcBorders>
            <w:shd w:val="clear" w:color="auto" w:fill="auto"/>
            <w:noWrap/>
            <w:vAlign w:val="center"/>
          </w:tcPr>
          <w:p w14:paraId="07D25282">
            <w:pPr>
              <w:widowControl/>
              <w:jc w:val="center"/>
              <w:rPr>
                <w:rFonts w:hint="default" w:eastAsia="等线"/>
                <w:color w:val="000000"/>
                <w:kern w:val="0"/>
                <w:sz w:val="18"/>
                <w:szCs w:val="18"/>
                <w:highlight w:val="none"/>
                <w:lang w:val="en-US" w:eastAsia="zh-CN"/>
              </w:rPr>
            </w:pPr>
            <w:r>
              <w:rPr>
                <w:rFonts w:eastAsia="等线"/>
                <w:color w:val="000000"/>
                <w:kern w:val="0"/>
                <w:sz w:val="18"/>
                <w:szCs w:val="18"/>
                <w:highlight w:val="none"/>
              </w:rPr>
              <w:t>1,1</w:t>
            </w:r>
            <w:r>
              <w:rPr>
                <w:rFonts w:hint="eastAsia" w:eastAsia="等线"/>
                <w:color w:val="000000"/>
                <w:kern w:val="0"/>
                <w:sz w:val="18"/>
                <w:szCs w:val="18"/>
                <w:highlight w:val="none"/>
                <w:lang w:val="en-US" w:eastAsia="zh-CN"/>
              </w:rPr>
              <w:t>71.92</w:t>
            </w:r>
          </w:p>
        </w:tc>
        <w:tc>
          <w:tcPr>
            <w:tcW w:w="948" w:type="dxa"/>
            <w:tcBorders>
              <w:top w:val="nil"/>
              <w:left w:val="nil"/>
              <w:bottom w:val="single" w:color="auto" w:sz="4" w:space="0"/>
              <w:right w:val="nil"/>
            </w:tcBorders>
            <w:shd w:val="clear" w:color="auto" w:fill="auto"/>
            <w:noWrap/>
            <w:vAlign w:val="center"/>
          </w:tcPr>
          <w:p w14:paraId="2AB3E9B8">
            <w:pPr>
              <w:widowControl/>
              <w:jc w:val="center"/>
              <w:rPr>
                <w:rFonts w:hint="default" w:eastAsia="等线"/>
                <w:color w:val="000000"/>
                <w:kern w:val="0"/>
                <w:sz w:val="18"/>
                <w:szCs w:val="18"/>
                <w:highlight w:val="none"/>
                <w:lang w:val="en-US" w:eastAsia="zh-CN"/>
              </w:rPr>
            </w:pPr>
            <w:r>
              <w:rPr>
                <w:rFonts w:hint="eastAsia" w:eastAsia="等线"/>
                <w:color w:val="000000"/>
                <w:kern w:val="0"/>
                <w:sz w:val="18"/>
                <w:szCs w:val="18"/>
                <w:highlight w:val="none"/>
                <w:lang w:val="en-US" w:eastAsia="zh-CN"/>
              </w:rPr>
              <w:t>354.62</w:t>
            </w:r>
          </w:p>
        </w:tc>
      </w:tr>
      <w:tr w14:paraId="2AADE590">
        <w:tblPrEx>
          <w:tblCellMar>
            <w:top w:w="0" w:type="dxa"/>
            <w:left w:w="108" w:type="dxa"/>
            <w:bottom w:w="0" w:type="dxa"/>
            <w:right w:w="108" w:type="dxa"/>
          </w:tblCellMar>
        </w:tblPrEx>
        <w:trPr>
          <w:trHeight w:val="300" w:hRule="atLeast"/>
        </w:trPr>
        <w:tc>
          <w:tcPr>
            <w:tcW w:w="2653" w:type="dxa"/>
            <w:gridSpan w:val="2"/>
            <w:tcBorders>
              <w:top w:val="single" w:color="auto" w:sz="4" w:space="0"/>
              <w:left w:val="nil"/>
              <w:bottom w:val="single" w:color="auto" w:sz="12" w:space="0"/>
              <w:right w:val="single" w:color="000000" w:sz="8" w:space="0"/>
            </w:tcBorders>
            <w:shd w:val="clear" w:color="auto" w:fill="auto"/>
            <w:noWrap/>
            <w:vAlign w:val="center"/>
          </w:tcPr>
          <w:p w14:paraId="2708FC12">
            <w:pPr>
              <w:widowControl/>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合计</w:t>
            </w:r>
          </w:p>
        </w:tc>
        <w:tc>
          <w:tcPr>
            <w:tcW w:w="834" w:type="dxa"/>
            <w:tcBorders>
              <w:top w:val="single" w:color="auto" w:sz="4" w:space="0"/>
              <w:left w:val="nil"/>
              <w:bottom w:val="single" w:color="auto" w:sz="12" w:space="0"/>
              <w:right w:val="single" w:color="auto" w:sz="8" w:space="0"/>
            </w:tcBorders>
            <w:shd w:val="clear" w:color="auto" w:fill="auto"/>
            <w:noWrap/>
            <w:vAlign w:val="center"/>
          </w:tcPr>
          <w:p w14:paraId="1EBB0E91">
            <w:pPr>
              <w:keepNext w:val="0"/>
              <w:keepLines w:val="0"/>
              <w:widowControl/>
              <w:suppressLineNumbers w:val="0"/>
              <w:jc w:val="center"/>
              <w:textAlignment w:val="center"/>
              <w:rPr>
                <w:rFonts w:hint="default" w:eastAsia="等线"/>
                <w:b/>
                <w:bCs/>
                <w:color w:val="000000"/>
                <w:kern w:val="0"/>
                <w:sz w:val="20"/>
                <w:szCs w:val="20"/>
                <w:highlight w:val="none"/>
                <w:lang w:val="en-US"/>
              </w:rPr>
            </w:pPr>
          </w:p>
        </w:tc>
        <w:tc>
          <w:tcPr>
            <w:tcW w:w="1028" w:type="dxa"/>
            <w:tcBorders>
              <w:top w:val="single" w:color="auto" w:sz="4" w:space="0"/>
              <w:left w:val="nil"/>
              <w:bottom w:val="single" w:color="auto" w:sz="12" w:space="0"/>
              <w:right w:val="single" w:color="auto" w:sz="8" w:space="0"/>
            </w:tcBorders>
            <w:shd w:val="clear" w:color="auto" w:fill="auto"/>
            <w:noWrap/>
            <w:vAlign w:val="center"/>
          </w:tcPr>
          <w:p w14:paraId="092A83DB">
            <w:pPr>
              <w:keepNext w:val="0"/>
              <w:keepLines w:val="0"/>
              <w:widowControl/>
              <w:suppressLineNumbers w:val="0"/>
              <w:jc w:val="center"/>
              <w:textAlignment w:val="center"/>
              <w:rPr>
                <w:rFonts w:eastAsia="等线"/>
                <w:b/>
                <w:bCs/>
                <w:color w:val="000000"/>
                <w:kern w:val="0"/>
                <w:sz w:val="20"/>
                <w:szCs w:val="20"/>
                <w:highlight w:val="none"/>
              </w:rPr>
            </w:pPr>
            <w:r>
              <w:rPr>
                <w:rFonts w:hint="default" w:ascii="Times New Roman" w:hAnsi="Times New Roman" w:eastAsia="宋体" w:cs="Times New Roman"/>
                <w:b/>
                <w:bCs/>
                <w:i w:val="0"/>
                <w:iCs w:val="0"/>
                <w:color w:val="000000"/>
                <w:kern w:val="0"/>
                <w:sz w:val="20"/>
                <w:szCs w:val="20"/>
                <w:u w:val="none"/>
                <w:lang w:val="en-US" w:eastAsia="zh-CN" w:bidi="ar"/>
              </w:rPr>
              <w:t>13,483.69</w:t>
            </w:r>
          </w:p>
        </w:tc>
        <w:tc>
          <w:tcPr>
            <w:tcW w:w="1121" w:type="dxa"/>
            <w:tcBorders>
              <w:top w:val="single" w:color="auto" w:sz="4" w:space="0"/>
              <w:left w:val="nil"/>
              <w:bottom w:val="single" w:color="auto" w:sz="12" w:space="0"/>
              <w:right w:val="single" w:color="auto" w:sz="8" w:space="0"/>
            </w:tcBorders>
            <w:shd w:val="clear" w:color="auto" w:fill="auto"/>
            <w:noWrap/>
            <w:vAlign w:val="center"/>
          </w:tcPr>
          <w:p w14:paraId="3F111E5C">
            <w:pPr>
              <w:keepNext w:val="0"/>
              <w:keepLines w:val="0"/>
              <w:widowControl/>
              <w:suppressLineNumbers w:val="0"/>
              <w:jc w:val="center"/>
              <w:textAlignment w:val="center"/>
              <w:rPr>
                <w:rFonts w:eastAsia="等线"/>
                <w:b/>
                <w:bCs/>
                <w:color w:val="000000"/>
                <w:kern w:val="0"/>
                <w:sz w:val="20"/>
                <w:szCs w:val="20"/>
                <w:highlight w:val="none"/>
              </w:rPr>
            </w:pPr>
            <w:r>
              <w:rPr>
                <w:rFonts w:hint="default" w:ascii="Times New Roman" w:hAnsi="Times New Roman" w:eastAsia="宋体" w:cs="Times New Roman"/>
                <w:b/>
                <w:bCs/>
                <w:i w:val="0"/>
                <w:iCs w:val="0"/>
                <w:color w:val="000000"/>
                <w:kern w:val="0"/>
                <w:sz w:val="20"/>
                <w:szCs w:val="20"/>
                <w:u w:val="none"/>
                <w:lang w:val="en-US" w:eastAsia="zh-CN" w:bidi="ar"/>
              </w:rPr>
              <w:t>861.61</w:t>
            </w:r>
          </w:p>
        </w:tc>
        <w:tc>
          <w:tcPr>
            <w:tcW w:w="1028" w:type="dxa"/>
            <w:tcBorders>
              <w:top w:val="single" w:color="auto" w:sz="4" w:space="0"/>
              <w:left w:val="nil"/>
              <w:bottom w:val="single" w:color="auto" w:sz="12" w:space="0"/>
              <w:right w:val="single" w:color="auto" w:sz="8" w:space="0"/>
            </w:tcBorders>
            <w:shd w:val="clear" w:color="auto" w:fill="auto"/>
            <w:noWrap/>
            <w:vAlign w:val="center"/>
          </w:tcPr>
          <w:p w14:paraId="0EC672F0">
            <w:pPr>
              <w:keepNext w:val="0"/>
              <w:keepLines w:val="0"/>
              <w:widowControl/>
              <w:suppressLineNumbers w:val="0"/>
              <w:jc w:val="center"/>
              <w:textAlignment w:val="center"/>
              <w:rPr>
                <w:rFonts w:hint="default" w:eastAsia="等线"/>
                <w:b/>
                <w:bCs/>
                <w:color w:val="000000"/>
                <w:kern w:val="0"/>
                <w:sz w:val="20"/>
                <w:szCs w:val="20"/>
                <w:highlight w:val="none"/>
                <w:lang w:val="en-US"/>
              </w:rPr>
            </w:pPr>
            <w:r>
              <w:rPr>
                <w:rFonts w:hint="default" w:ascii="Times New Roman" w:hAnsi="Times New Roman" w:eastAsia="宋体" w:cs="Times New Roman"/>
                <w:b/>
                <w:bCs/>
                <w:i w:val="0"/>
                <w:iCs w:val="0"/>
                <w:color w:val="000000"/>
                <w:kern w:val="0"/>
                <w:sz w:val="20"/>
                <w:szCs w:val="20"/>
                <w:u w:val="none"/>
                <w:lang w:val="en-US" w:eastAsia="zh-CN" w:bidi="ar"/>
              </w:rPr>
              <w:t>14,34</w:t>
            </w:r>
            <w:r>
              <w:rPr>
                <w:rFonts w:hint="eastAsia" w:cs="Times New Roman"/>
                <w:b/>
                <w:bCs/>
                <w:i w:val="0"/>
                <w:iCs w:val="0"/>
                <w:color w:val="000000"/>
                <w:kern w:val="0"/>
                <w:sz w:val="20"/>
                <w:szCs w:val="20"/>
                <w:u w:val="none"/>
                <w:lang w:val="en-US" w:eastAsia="zh-CN" w:bidi="ar"/>
              </w:rPr>
              <w:t>4</w:t>
            </w:r>
            <w:r>
              <w:rPr>
                <w:rFonts w:hint="default" w:ascii="Times New Roman" w:hAnsi="Times New Roman" w:eastAsia="宋体" w:cs="Times New Roman"/>
                <w:b/>
                <w:bCs/>
                <w:i w:val="0"/>
                <w:iCs w:val="0"/>
                <w:color w:val="000000"/>
                <w:kern w:val="0"/>
                <w:sz w:val="20"/>
                <w:szCs w:val="20"/>
                <w:u w:val="none"/>
                <w:lang w:val="en-US" w:eastAsia="zh-CN" w:bidi="ar"/>
              </w:rPr>
              <w:t>.</w:t>
            </w:r>
            <w:r>
              <w:rPr>
                <w:rFonts w:hint="eastAsia" w:cs="Times New Roman"/>
                <w:b/>
                <w:bCs/>
                <w:i w:val="0"/>
                <w:iCs w:val="0"/>
                <w:color w:val="000000"/>
                <w:kern w:val="0"/>
                <w:sz w:val="20"/>
                <w:szCs w:val="20"/>
                <w:u w:val="none"/>
                <w:lang w:val="en-US" w:eastAsia="zh-CN" w:bidi="ar"/>
              </w:rPr>
              <w:t>8</w:t>
            </w: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028" w:type="dxa"/>
            <w:tcBorders>
              <w:top w:val="single" w:color="auto" w:sz="4" w:space="0"/>
              <w:left w:val="nil"/>
              <w:bottom w:val="single" w:color="auto" w:sz="12" w:space="0"/>
              <w:right w:val="single" w:color="auto" w:sz="8" w:space="0"/>
            </w:tcBorders>
            <w:shd w:val="clear" w:color="auto" w:fill="auto"/>
            <w:noWrap/>
            <w:vAlign w:val="center"/>
          </w:tcPr>
          <w:p w14:paraId="6E34078C">
            <w:pPr>
              <w:keepNext w:val="0"/>
              <w:keepLines w:val="0"/>
              <w:widowControl/>
              <w:suppressLineNumbers w:val="0"/>
              <w:jc w:val="center"/>
              <w:textAlignment w:val="center"/>
              <w:rPr>
                <w:rFonts w:hint="default" w:eastAsia="等线"/>
                <w:b/>
                <w:bCs/>
                <w:color w:val="000000"/>
                <w:kern w:val="0"/>
                <w:sz w:val="20"/>
                <w:szCs w:val="20"/>
                <w:highlight w:val="none"/>
                <w:lang w:val="en-US"/>
              </w:rPr>
            </w:pPr>
            <w:r>
              <w:rPr>
                <w:rFonts w:hint="default" w:ascii="Times New Roman" w:hAnsi="Times New Roman" w:eastAsia="宋体" w:cs="Times New Roman"/>
                <w:b/>
                <w:bCs/>
                <w:i w:val="0"/>
                <w:iCs w:val="0"/>
                <w:color w:val="000000"/>
                <w:kern w:val="0"/>
                <w:sz w:val="20"/>
                <w:szCs w:val="20"/>
                <w:u w:val="none"/>
                <w:lang w:val="en-US" w:eastAsia="zh-CN" w:bidi="ar"/>
              </w:rPr>
              <w:t>13,775.</w:t>
            </w:r>
            <w:r>
              <w:rPr>
                <w:rFonts w:hint="eastAsia" w:cs="Times New Roman"/>
                <w:b/>
                <w:bCs/>
                <w:i w:val="0"/>
                <w:iCs w:val="0"/>
                <w:color w:val="000000"/>
                <w:kern w:val="0"/>
                <w:sz w:val="20"/>
                <w:szCs w:val="20"/>
                <w:u w:val="none"/>
                <w:lang w:val="en-US" w:eastAsia="zh-CN" w:bidi="ar"/>
              </w:rPr>
              <w:t>90</w:t>
            </w:r>
          </w:p>
        </w:tc>
        <w:tc>
          <w:tcPr>
            <w:tcW w:w="948" w:type="dxa"/>
            <w:tcBorders>
              <w:top w:val="single" w:color="auto" w:sz="4" w:space="0"/>
              <w:left w:val="nil"/>
              <w:bottom w:val="single" w:color="auto" w:sz="12" w:space="0"/>
            </w:tcBorders>
            <w:shd w:val="clear" w:color="auto" w:fill="auto"/>
            <w:noWrap/>
            <w:vAlign w:val="center"/>
          </w:tcPr>
          <w:p w14:paraId="5D12860F">
            <w:pPr>
              <w:keepNext w:val="0"/>
              <w:keepLines w:val="0"/>
              <w:widowControl/>
              <w:suppressLineNumbers w:val="0"/>
              <w:jc w:val="center"/>
              <w:textAlignment w:val="center"/>
              <w:rPr>
                <w:rFonts w:hint="eastAsia" w:eastAsia="等线"/>
                <w:b/>
                <w:bCs/>
                <w:color w:val="000000"/>
                <w:kern w:val="0"/>
                <w:sz w:val="20"/>
                <w:szCs w:val="20"/>
                <w:highlight w:val="none"/>
                <w:lang w:eastAsia="zh-CN"/>
              </w:rPr>
            </w:pPr>
            <w:r>
              <w:rPr>
                <w:rFonts w:hint="default" w:ascii="Times New Roman" w:hAnsi="Times New Roman" w:eastAsia="宋体" w:cs="Times New Roman"/>
                <w:b/>
                <w:bCs/>
                <w:i w:val="0"/>
                <w:iCs w:val="0"/>
                <w:color w:val="000000"/>
                <w:kern w:val="0"/>
                <w:sz w:val="20"/>
                <w:szCs w:val="20"/>
                <w:u w:val="none"/>
                <w:lang w:val="en-US" w:eastAsia="zh-CN" w:bidi="ar"/>
              </w:rPr>
              <w:t>569.4</w:t>
            </w:r>
            <w:r>
              <w:rPr>
                <w:rFonts w:hint="eastAsia" w:cs="Times New Roman"/>
                <w:b/>
                <w:bCs/>
                <w:i w:val="0"/>
                <w:iCs w:val="0"/>
                <w:color w:val="000000"/>
                <w:kern w:val="0"/>
                <w:sz w:val="20"/>
                <w:szCs w:val="20"/>
                <w:u w:val="none"/>
                <w:lang w:val="en-US" w:eastAsia="zh-CN" w:bidi="ar"/>
              </w:rPr>
              <w:t>0</w:t>
            </w:r>
          </w:p>
        </w:tc>
      </w:tr>
    </w:tbl>
    <w:p w14:paraId="36D58F02">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outlineLvl w:val="1"/>
        <w:rPr>
          <w:rFonts w:hint="eastAsia" w:eastAsia="仿宋_GB2312"/>
          <w:snapToGrid w:val="0"/>
          <w:kern w:val="0"/>
          <w:sz w:val="32"/>
          <w:szCs w:val="32"/>
          <w:highlight w:val="none"/>
          <w:lang w:eastAsia="zh-CN"/>
        </w:rPr>
      </w:pPr>
      <w:bookmarkStart w:id="21" w:name="_Toc195797064"/>
      <w:bookmarkStart w:id="22" w:name="_Toc167115810"/>
      <w:r>
        <w:rPr>
          <w:rFonts w:hint="eastAsia" w:eastAsia="楷体_GB2312"/>
          <w:b/>
          <w:snapToGrid w:val="0"/>
          <w:kern w:val="0"/>
          <w:sz w:val="32"/>
          <w:szCs w:val="32"/>
          <w:highlight w:val="none"/>
        </w:rPr>
        <w:t>（二）项目支出情况</w:t>
      </w:r>
      <w:bookmarkEnd w:id="21"/>
      <w:bookmarkEnd w:id="22"/>
    </w:p>
    <w:p w14:paraId="78DC853C">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eastAsia="仿宋_GB2312"/>
          <w:snapToGrid w:val="0"/>
          <w:kern w:val="0"/>
          <w:sz w:val="32"/>
          <w:szCs w:val="32"/>
          <w:highlight w:val="none"/>
        </w:rPr>
      </w:pPr>
      <w:r>
        <w:rPr>
          <w:rFonts w:hint="eastAsia" w:eastAsia="仿宋_GB2312"/>
          <w:snapToGrid w:val="0"/>
          <w:kern w:val="0"/>
          <w:sz w:val="32"/>
          <w:szCs w:val="32"/>
          <w:highlight w:val="none"/>
        </w:rPr>
        <w:t>1</w:t>
      </w:r>
      <w:r>
        <w:rPr>
          <w:rFonts w:hint="eastAsia" w:eastAsia="仿宋_GB2312"/>
          <w:snapToGrid w:val="0"/>
          <w:kern w:val="0"/>
          <w:sz w:val="32"/>
          <w:szCs w:val="32"/>
          <w:highlight w:val="none"/>
          <w:lang w:eastAsia="zh-CN"/>
        </w:rPr>
        <w:t>.</w:t>
      </w: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年我厅纳入绩效自评范围的项目支出预算资金总额为</w:t>
      </w:r>
      <w:r>
        <w:rPr>
          <w:rFonts w:eastAsia="仿宋_GB2312"/>
          <w:snapToGrid w:val="0"/>
          <w:color w:val="000000" w:themeColor="text1"/>
          <w:kern w:val="0"/>
          <w:sz w:val="32"/>
          <w:szCs w:val="32"/>
          <w:highlight w:val="none"/>
          <w14:textFill>
            <w14:solidFill>
              <w14:schemeClr w14:val="tx1"/>
            </w14:solidFill>
          </w14:textFill>
        </w:rPr>
        <w:t>1</w:t>
      </w:r>
      <w:r>
        <w:rPr>
          <w:rFonts w:hint="eastAsia" w:eastAsia="仿宋_GB2312"/>
          <w:snapToGrid w:val="0"/>
          <w:color w:val="000000" w:themeColor="text1"/>
          <w:kern w:val="0"/>
          <w:sz w:val="32"/>
          <w:szCs w:val="32"/>
          <w:highlight w:val="none"/>
          <w:lang w:val="en-US" w:eastAsia="zh-CN"/>
          <w14:textFill>
            <w14:solidFill>
              <w14:schemeClr w14:val="tx1"/>
            </w14:solidFill>
          </w14:textFill>
        </w:rPr>
        <w:t>9</w:t>
      </w:r>
      <w:r>
        <w:rPr>
          <w:rFonts w:hint="eastAsia" w:eastAsia="仿宋_GB2312"/>
          <w:snapToGrid w:val="0"/>
          <w:color w:val="000000" w:themeColor="text1"/>
          <w:kern w:val="0"/>
          <w:sz w:val="32"/>
          <w:szCs w:val="32"/>
          <w:highlight w:val="none"/>
          <w14:textFill>
            <w14:solidFill>
              <w14:schemeClr w14:val="tx1"/>
            </w14:solidFill>
          </w14:textFill>
        </w:rPr>
        <w:t>,</w:t>
      </w:r>
      <w:r>
        <w:rPr>
          <w:rFonts w:hint="eastAsia" w:eastAsia="仿宋_GB2312"/>
          <w:snapToGrid w:val="0"/>
          <w:color w:val="000000" w:themeColor="text1"/>
          <w:kern w:val="0"/>
          <w:sz w:val="32"/>
          <w:szCs w:val="32"/>
          <w:highlight w:val="none"/>
          <w:lang w:val="en-US" w:eastAsia="zh-CN"/>
          <w14:textFill>
            <w14:solidFill>
              <w14:schemeClr w14:val="tx1"/>
            </w14:solidFill>
          </w14:textFill>
        </w:rPr>
        <w:t>158.14</w:t>
      </w:r>
      <w:r>
        <w:rPr>
          <w:rFonts w:hint="eastAsia" w:eastAsia="仿宋_GB2312"/>
          <w:snapToGrid w:val="0"/>
          <w:kern w:val="0"/>
          <w:sz w:val="32"/>
          <w:szCs w:val="32"/>
          <w:highlight w:val="none"/>
        </w:rPr>
        <w:t>万元，占我厅部门一般公共预算资金总额3</w:t>
      </w:r>
      <w:r>
        <w:rPr>
          <w:rFonts w:hint="eastAsia" w:eastAsia="仿宋_GB2312"/>
          <w:snapToGrid w:val="0"/>
          <w:kern w:val="0"/>
          <w:sz w:val="32"/>
          <w:szCs w:val="32"/>
          <w:highlight w:val="none"/>
          <w:lang w:val="en-US" w:eastAsia="zh-CN"/>
        </w:rPr>
        <w:t>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502.94</w:t>
      </w:r>
      <w:r>
        <w:rPr>
          <w:rFonts w:hint="eastAsia" w:eastAsia="仿宋_GB2312"/>
          <w:snapToGrid w:val="0"/>
          <w:kern w:val="0"/>
          <w:sz w:val="32"/>
          <w:szCs w:val="32"/>
          <w:highlight w:val="none"/>
        </w:rPr>
        <w:t>万元的5</w:t>
      </w:r>
      <w:r>
        <w:rPr>
          <w:rFonts w:hint="eastAsia" w:eastAsia="仿宋_GB2312"/>
          <w:snapToGrid w:val="0"/>
          <w:kern w:val="0"/>
          <w:sz w:val="32"/>
          <w:szCs w:val="32"/>
          <w:highlight w:val="none"/>
          <w:lang w:val="en-US" w:eastAsia="zh-CN"/>
        </w:rPr>
        <w:t>7.18</w:t>
      </w:r>
      <w:r>
        <w:rPr>
          <w:rFonts w:hint="eastAsia" w:eastAsia="仿宋_GB2312"/>
          <w:snapToGrid w:val="0"/>
          <w:kern w:val="0"/>
          <w:sz w:val="32"/>
          <w:szCs w:val="32"/>
          <w:highlight w:val="none"/>
        </w:rPr>
        <w:t>%，其中：上年结转</w:t>
      </w:r>
      <w:r>
        <w:rPr>
          <w:rFonts w:hint="eastAsia" w:eastAsia="仿宋_GB2312"/>
          <w:snapToGrid w:val="0"/>
          <w:kern w:val="0"/>
          <w:sz w:val="32"/>
          <w:szCs w:val="32"/>
          <w:highlight w:val="none"/>
          <w:lang w:val="en-US" w:eastAsia="zh-CN"/>
        </w:rPr>
        <w:t>2</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144.27</w:t>
      </w:r>
      <w:r>
        <w:rPr>
          <w:rFonts w:hint="eastAsia" w:eastAsia="仿宋_GB2312"/>
          <w:snapToGrid w:val="0"/>
          <w:kern w:val="0"/>
          <w:sz w:val="32"/>
          <w:szCs w:val="32"/>
          <w:highlight w:val="none"/>
        </w:rPr>
        <w:t>万元，年初预算</w:t>
      </w:r>
      <w:r>
        <w:rPr>
          <w:rFonts w:hint="eastAsia" w:eastAsia="仿宋_GB2312"/>
          <w:snapToGrid w:val="0"/>
          <w:kern w:val="0"/>
          <w:sz w:val="32"/>
          <w:szCs w:val="32"/>
          <w:highlight w:val="none"/>
          <w:lang w:val="en-US" w:eastAsia="zh-CN"/>
        </w:rPr>
        <w:t>10</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364.82</w:t>
      </w:r>
      <w:r>
        <w:rPr>
          <w:rFonts w:hint="eastAsia" w:eastAsia="仿宋_GB2312"/>
          <w:snapToGrid w:val="0"/>
          <w:kern w:val="0"/>
          <w:sz w:val="32"/>
          <w:szCs w:val="32"/>
          <w:highlight w:val="none"/>
        </w:rPr>
        <w:t>万元，本年调整</w:t>
      </w:r>
      <w:r>
        <w:rPr>
          <w:rFonts w:hint="eastAsia" w:eastAsia="仿宋_GB2312"/>
          <w:snapToGrid w:val="0"/>
          <w:kern w:val="0"/>
          <w:sz w:val="32"/>
          <w:szCs w:val="32"/>
          <w:highlight w:val="none"/>
          <w:lang w:val="en-US" w:eastAsia="zh-CN"/>
        </w:rPr>
        <w:t>6</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648.56</w:t>
      </w:r>
      <w:r>
        <w:rPr>
          <w:rFonts w:hint="eastAsia"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年决算支出</w:t>
      </w:r>
      <w:r>
        <w:rPr>
          <w:rFonts w:eastAsia="仿宋_GB2312"/>
          <w:snapToGrid w:val="0"/>
          <w:kern w:val="0"/>
          <w:sz w:val="32"/>
          <w:szCs w:val="32"/>
          <w:highlight w:val="none"/>
        </w:rPr>
        <w:t>1</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224</w:t>
      </w:r>
      <w:r>
        <w:rPr>
          <w:rFonts w:eastAsia="仿宋_GB2312"/>
          <w:snapToGrid w:val="0"/>
          <w:kern w:val="0"/>
          <w:sz w:val="32"/>
          <w:szCs w:val="32"/>
          <w:highlight w:val="none"/>
        </w:rPr>
        <w:t>.</w:t>
      </w:r>
      <w:r>
        <w:rPr>
          <w:rFonts w:hint="eastAsia" w:eastAsia="仿宋_GB2312"/>
          <w:snapToGrid w:val="0"/>
          <w:kern w:val="0"/>
          <w:sz w:val="32"/>
          <w:szCs w:val="32"/>
          <w:highlight w:val="none"/>
          <w:lang w:val="en-US" w:eastAsia="zh-CN"/>
        </w:rPr>
        <w:t>63</w:t>
      </w:r>
      <w:r>
        <w:rPr>
          <w:rFonts w:hint="eastAsia" w:eastAsia="仿宋_GB2312"/>
          <w:snapToGrid w:val="0"/>
          <w:kern w:val="0"/>
          <w:sz w:val="32"/>
          <w:szCs w:val="32"/>
          <w:highlight w:val="none"/>
        </w:rPr>
        <w:t>万元，剔除湖南省人事考试院应纳入专户管理的非税收入后，执行率为88.22%，结转结余</w:t>
      </w:r>
      <w:r>
        <w:rPr>
          <w:rFonts w:eastAsia="仿宋_GB2312"/>
          <w:snapToGrid w:val="0"/>
          <w:kern w:val="0"/>
          <w:sz w:val="32"/>
          <w:szCs w:val="32"/>
          <w:highlight w:val="none"/>
        </w:rPr>
        <w:t>3,</w:t>
      </w:r>
      <w:r>
        <w:rPr>
          <w:rFonts w:hint="eastAsia" w:eastAsia="仿宋_GB2312"/>
          <w:snapToGrid w:val="0"/>
          <w:kern w:val="0"/>
          <w:sz w:val="32"/>
          <w:szCs w:val="32"/>
          <w:highlight w:val="none"/>
          <w:lang w:val="en-US" w:eastAsia="zh-CN"/>
        </w:rPr>
        <w:t>933.01</w:t>
      </w:r>
      <w:r>
        <w:rPr>
          <w:rFonts w:hint="eastAsia" w:eastAsia="仿宋_GB2312"/>
          <w:snapToGrid w:val="0"/>
          <w:kern w:val="0"/>
          <w:sz w:val="32"/>
          <w:szCs w:val="32"/>
          <w:highlight w:val="none"/>
        </w:rPr>
        <w:t>万元。具体情况如下：</w:t>
      </w:r>
    </w:p>
    <w:p w14:paraId="3EF03D8B">
      <w:pPr>
        <w:spacing w:line="592" w:lineRule="exact"/>
        <w:ind w:firstLine="2560" w:firstLineChars="800"/>
        <w:rPr>
          <w:rFonts w:eastAsia="仿宋_GB2312"/>
          <w:kern w:val="0"/>
          <w:sz w:val="32"/>
          <w:szCs w:val="32"/>
          <w:highlight w:val="none"/>
        </w:rPr>
      </w:pPr>
      <w:r>
        <w:rPr>
          <w:rFonts w:eastAsia="仿宋_GB2312"/>
          <w:kern w:val="0"/>
          <w:sz w:val="32"/>
          <w:szCs w:val="32"/>
          <w:highlight w:val="none"/>
        </w:rPr>
        <w:t>表</w:t>
      </w:r>
      <w:r>
        <w:rPr>
          <w:rFonts w:hint="eastAsia" w:eastAsia="仿宋_GB2312"/>
          <w:kern w:val="0"/>
          <w:sz w:val="32"/>
          <w:szCs w:val="32"/>
          <w:highlight w:val="none"/>
        </w:rPr>
        <w:t>2项目</w:t>
      </w:r>
      <w:r>
        <w:rPr>
          <w:rFonts w:eastAsia="仿宋_GB2312"/>
          <w:kern w:val="0"/>
          <w:sz w:val="32"/>
          <w:szCs w:val="32"/>
          <w:highlight w:val="none"/>
        </w:rPr>
        <w:t>支出资金明细表</w:t>
      </w:r>
    </w:p>
    <w:p w14:paraId="2175C2F5">
      <w:pPr>
        <w:pStyle w:val="10"/>
        <w:spacing w:line="592" w:lineRule="exact"/>
        <w:ind w:firstLine="5600" w:firstLineChars="2000"/>
        <w:jc w:val="right"/>
        <w:rPr>
          <w:rFonts w:eastAsia="仿宋_GB2312"/>
          <w:kern w:val="0"/>
          <w:sz w:val="32"/>
          <w:szCs w:val="32"/>
          <w:highlight w:val="none"/>
        </w:rPr>
      </w:pPr>
      <w:r>
        <w:rPr>
          <w:rFonts w:eastAsia="仿宋_GB2312"/>
          <w:kern w:val="0"/>
          <w:sz w:val="28"/>
          <w:szCs w:val="28"/>
          <w:highlight w:val="none"/>
        </w:rPr>
        <w:t>单位：万元</w:t>
      </w:r>
    </w:p>
    <w:tbl>
      <w:tblPr>
        <w:tblStyle w:val="17"/>
        <w:tblW w:w="9213"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226"/>
        <w:gridCol w:w="969"/>
        <w:gridCol w:w="1031"/>
        <w:gridCol w:w="1157"/>
        <w:gridCol w:w="1064"/>
        <w:gridCol w:w="1023"/>
        <w:gridCol w:w="1296"/>
      </w:tblGrid>
      <w:tr w14:paraId="5FE4CC6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447" w:type="dxa"/>
            <w:tcBorders>
              <w:top w:val="single" w:color="auto" w:sz="12" w:space="0"/>
              <w:bottom w:val="single" w:color="auto" w:sz="4" w:space="0"/>
            </w:tcBorders>
            <w:shd w:val="clear" w:color="auto" w:fill="auto"/>
            <w:noWrap/>
            <w:vAlign w:val="center"/>
          </w:tcPr>
          <w:p w14:paraId="29AA77CC">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序号</w:t>
            </w:r>
          </w:p>
        </w:tc>
        <w:tc>
          <w:tcPr>
            <w:tcW w:w="2226" w:type="dxa"/>
            <w:tcBorders>
              <w:top w:val="single" w:color="auto" w:sz="12" w:space="0"/>
              <w:bottom w:val="single" w:color="auto" w:sz="4" w:space="0"/>
            </w:tcBorders>
            <w:shd w:val="clear" w:color="auto" w:fill="auto"/>
            <w:noWrap/>
            <w:vAlign w:val="center"/>
          </w:tcPr>
          <w:p w14:paraId="0BC2A2E8">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单位名称</w:t>
            </w:r>
          </w:p>
        </w:tc>
        <w:tc>
          <w:tcPr>
            <w:tcW w:w="969" w:type="dxa"/>
            <w:tcBorders>
              <w:top w:val="single" w:color="auto" w:sz="12" w:space="0"/>
              <w:bottom w:val="single" w:color="auto" w:sz="4" w:space="0"/>
            </w:tcBorders>
            <w:shd w:val="clear" w:color="auto" w:fill="auto"/>
            <w:noWrap/>
            <w:vAlign w:val="center"/>
          </w:tcPr>
          <w:p w14:paraId="44F050EF">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上年结转</w:t>
            </w:r>
          </w:p>
        </w:tc>
        <w:tc>
          <w:tcPr>
            <w:tcW w:w="1031" w:type="dxa"/>
            <w:tcBorders>
              <w:top w:val="single" w:color="auto" w:sz="12" w:space="0"/>
              <w:bottom w:val="single" w:color="auto" w:sz="4" w:space="0"/>
            </w:tcBorders>
            <w:shd w:val="clear" w:color="auto" w:fill="auto"/>
            <w:noWrap/>
            <w:vAlign w:val="center"/>
          </w:tcPr>
          <w:p w14:paraId="525DB292">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年初预算</w:t>
            </w:r>
          </w:p>
        </w:tc>
        <w:tc>
          <w:tcPr>
            <w:tcW w:w="1157" w:type="dxa"/>
            <w:tcBorders>
              <w:top w:val="single" w:color="auto" w:sz="12" w:space="0"/>
              <w:bottom w:val="single" w:color="auto" w:sz="4" w:space="0"/>
            </w:tcBorders>
            <w:shd w:val="clear" w:color="auto" w:fill="auto"/>
            <w:noWrap/>
            <w:vAlign w:val="center"/>
          </w:tcPr>
          <w:p w14:paraId="6F986B65">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本年调整</w:t>
            </w:r>
          </w:p>
        </w:tc>
        <w:tc>
          <w:tcPr>
            <w:tcW w:w="1064" w:type="dxa"/>
            <w:tcBorders>
              <w:top w:val="single" w:color="auto" w:sz="12" w:space="0"/>
              <w:bottom w:val="single" w:color="auto" w:sz="4" w:space="0"/>
            </w:tcBorders>
            <w:shd w:val="clear" w:color="auto" w:fill="auto"/>
            <w:vAlign w:val="center"/>
          </w:tcPr>
          <w:p w14:paraId="455CF229">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全年预算</w:t>
            </w:r>
          </w:p>
        </w:tc>
        <w:tc>
          <w:tcPr>
            <w:tcW w:w="1023" w:type="dxa"/>
            <w:tcBorders>
              <w:top w:val="single" w:color="auto" w:sz="12" w:space="0"/>
              <w:bottom w:val="single" w:color="auto" w:sz="4" w:space="0"/>
            </w:tcBorders>
            <w:shd w:val="clear" w:color="auto" w:fill="auto"/>
            <w:noWrap/>
            <w:vAlign w:val="center"/>
          </w:tcPr>
          <w:p w14:paraId="19C2DB19">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决算支出</w:t>
            </w:r>
          </w:p>
        </w:tc>
        <w:tc>
          <w:tcPr>
            <w:tcW w:w="1296" w:type="dxa"/>
            <w:tcBorders>
              <w:top w:val="single" w:color="auto" w:sz="12" w:space="0"/>
              <w:bottom w:val="single" w:color="auto" w:sz="4" w:space="0"/>
            </w:tcBorders>
            <w:shd w:val="clear" w:color="auto" w:fill="auto"/>
            <w:noWrap/>
            <w:vAlign w:val="center"/>
          </w:tcPr>
          <w:p w14:paraId="635C1D81">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结转结余</w:t>
            </w:r>
          </w:p>
        </w:tc>
      </w:tr>
      <w:tr w14:paraId="36935AC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47" w:type="dxa"/>
            <w:tcBorders>
              <w:top w:val="single" w:color="auto" w:sz="4" w:space="0"/>
            </w:tcBorders>
            <w:shd w:val="clear" w:color="auto" w:fill="auto"/>
            <w:noWrap/>
            <w:vAlign w:val="center"/>
          </w:tcPr>
          <w:p w14:paraId="6781A25E">
            <w:pPr>
              <w:widowControl/>
              <w:jc w:val="center"/>
              <w:rPr>
                <w:rFonts w:eastAsia="等线"/>
                <w:kern w:val="0"/>
                <w:sz w:val="18"/>
                <w:szCs w:val="18"/>
                <w:highlight w:val="none"/>
              </w:rPr>
            </w:pPr>
            <w:r>
              <w:rPr>
                <w:rFonts w:eastAsia="等线"/>
                <w:kern w:val="0"/>
                <w:sz w:val="18"/>
                <w:szCs w:val="18"/>
                <w:highlight w:val="none"/>
              </w:rPr>
              <w:t>1</w:t>
            </w:r>
          </w:p>
        </w:tc>
        <w:tc>
          <w:tcPr>
            <w:tcW w:w="2226" w:type="dxa"/>
            <w:tcBorders>
              <w:top w:val="single" w:color="auto" w:sz="4" w:space="0"/>
            </w:tcBorders>
            <w:shd w:val="clear" w:color="auto" w:fill="auto"/>
            <w:vAlign w:val="center"/>
          </w:tcPr>
          <w:p w14:paraId="733ED706">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湖南省人力资源和社会保障厅（本级）</w:t>
            </w:r>
          </w:p>
        </w:tc>
        <w:tc>
          <w:tcPr>
            <w:tcW w:w="969" w:type="dxa"/>
            <w:tcBorders>
              <w:top w:val="single" w:color="auto" w:sz="4" w:space="0"/>
            </w:tcBorders>
            <w:shd w:val="clear" w:color="auto" w:fill="auto"/>
            <w:noWrap/>
            <w:vAlign w:val="center"/>
          </w:tcPr>
          <w:p w14:paraId="4CCBEA14">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1,523.10</w:t>
            </w:r>
          </w:p>
        </w:tc>
        <w:tc>
          <w:tcPr>
            <w:tcW w:w="1031" w:type="dxa"/>
            <w:tcBorders>
              <w:top w:val="single" w:color="auto" w:sz="4" w:space="0"/>
            </w:tcBorders>
            <w:shd w:val="clear" w:color="auto" w:fill="auto"/>
            <w:noWrap/>
            <w:vAlign w:val="center"/>
          </w:tcPr>
          <w:p w14:paraId="45DFE67E">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3,578.77</w:t>
            </w:r>
          </w:p>
        </w:tc>
        <w:tc>
          <w:tcPr>
            <w:tcW w:w="1157" w:type="dxa"/>
            <w:tcBorders>
              <w:top w:val="single" w:color="auto" w:sz="4" w:space="0"/>
            </w:tcBorders>
            <w:shd w:val="clear" w:color="auto" w:fill="auto"/>
            <w:noWrap/>
            <w:vAlign w:val="center"/>
          </w:tcPr>
          <w:p w14:paraId="399A58D3">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4,385.38</w:t>
            </w:r>
          </w:p>
        </w:tc>
        <w:tc>
          <w:tcPr>
            <w:tcW w:w="1064" w:type="dxa"/>
            <w:tcBorders>
              <w:top w:val="single" w:color="auto" w:sz="4" w:space="0"/>
            </w:tcBorders>
            <w:shd w:val="clear" w:color="auto" w:fill="auto"/>
            <w:vAlign w:val="center"/>
          </w:tcPr>
          <w:p w14:paraId="714E6373">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9,487.25</w:t>
            </w:r>
          </w:p>
        </w:tc>
        <w:tc>
          <w:tcPr>
            <w:tcW w:w="1023" w:type="dxa"/>
            <w:tcBorders>
              <w:top w:val="single" w:color="auto" w:sz="4" w:space="0"/>
            </w:tcBorders>
            <w:shd w:val="clear" w:color="auto" w:fill="auto"/>
            <w:noWrap/>
            <w:vAlign w:val="center"/>
          </w:tcPr>
          <w:p w14:paraId="674A39F2">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8,392.60</w:t>
            </w:r>
          </w:p>
        </w:tc>
        <w:tc>
          <w:tcPr>
            <w:tcW w:w="1296" w:type="dxa"/>
            <w:tcBorders>
              <w:top w:val="single" w:color="auto" w:sz="4" w:space="0"/>
            </w:tcBorders>
            <w:shd w:val="clear" w:color="auto" w:fill="auto"/>
            <w:noWrap/>
            <w:vAlign w:val="center"/>
          </w:tcPr>
          <w:p w14:paraId="259DECD4">
            <w:pPr>
              <w:keepNext w:val="0"/>
              <w:keepLines w:val="0"/>
              <w:widowControl/>
              <w:suppressLineNumbers w:val="0"/>
              <w:jc w:val="center"/>
              <w:textAlignment w:val="center"/>
              <w:rPr>
                <w:rFonts w:hint="default" w:eastAsia="等线"/>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1094.65</w:t>
            </w:r>
          </w:p>
        </w:tc>
      </w:tr>
      <w:tr w14:paraId="7CD3CD0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7" w:type="dxa"/>
            <w:shd w:val="clear" w:color="auto" w:fill="auto"/>
            <w:noWrap/>
            <w:vAlign w:val="center"/>
          </w:tcPr>
          <w:p w14:paraId="4E0E755C">
            <w:pPr>
              <w:widowControl/>
              <w:jc w:val="center"/>
              <w:rPr>
                <w:rFonts w:eastAsia="等线"/>
                <w:kern w:val="0"/>
                <w:sz w:val="18"/>
                <w:szCs w:val="18"/>
                <w:highlight w:val="none"/>
              </w:rPr>
            </w:pPr>
            <w:r>
              <w:rPr>
                <w:rFonts w:eastAsia="等线"/>
                <w:kern w:val="0"/>
                <w:sz w:val="18"/>
                <w:szCs w:val="18"/>
                <w:highlight w:val="none"/>
              </w:rPr>
              <w:t>2</w:t>
            </w:r>
          </w:p>
        </w:tc>
        <w:tc>
          <w:tcPr>
            <w:tcW w:w="2226" w:type="dxa"/>
            <w:shd w:val="clear" w:color="auto" w:fill="auto"/>
            <w:vAlign w:val="center"/>
          </w:tcPr>
          <w:p w14:paraId="1BB927EF">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湖南省社会保险服务中心</w:t>
            </w:r>
          </w:p>
        </w:tc>
        <w:tc>
          <w:tcPr>
            <w:tcW w:w="969" w:type="dxa"/>
            <w:shd w:val="clear" w:color="auto" w:fill="auto"/>
            <w:noWrap/>
            <w:vAlign w:val="center"/>
          </w:tcPr>
          <w:p w14:paraId="293DC9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031" w:type="dxa"/>
            <w:shd w:val="clear" w:color="auto" w:fill="auto"/>
            <w:noWrap/>
            <w:vAlign w:val="center"/>
          </w:tcPr>
          <w:p w14:paraId="426EC1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270.19</w:t>
            </w:r>
          </w:p>
        </w:tc>
        <w:tc>
          <w:tcPr>
            <w:tcW w:w="1157" w:type="dxa"/>
            <w:shd w:val="clear" w:color="auto" w:fill="auto"/>
            <w:noWrap/>
            <w:vAlign w:val="center"/>
          </w:tcPr>
          <w:p w14:paraId="2DF3A2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73.24</w:t>
            </w:r>
          </w:p>
        </w:tc>
        <w:tc>
          <w:tcPr>
            <w:tcW w:w="1064" w:type="dxa"/>
            <w:shd w:val="clear" w:color="auto" w:fill="auto"/>
            <w:vAlign w:val="center"/>
          </w:tcPr>
          <w:p w14:paraId="76BB17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343.43</w:t>
            </w:r>
          </w:p>
        </w:tc>
        <w:tc>
          <w:tcPr>
            <w:tcW w:w="1023" w:type="dxa"/>
            <w:shd w:val="clear" w:color="auto" w:fill="auto"/>
            <w:noWrap/>
            <w:vAlign w:val="center"/>
          </w:tcPr>
          <w:p w14:paraId="028089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299.34</w:t>
            </w:r>
          </w:p>
        </w:tc>
        <w:tc>
          <w:tcPr>
            <w:tcW w:w="1296" w:type="dxa"/>
            <w:shd w:val="clear" w:color="auto" w:fill="auto"/>
            <w:noWrap/>
            <w:vAlign w:val="center"/>
          </w:tcPr>
          <w:p w14:paraId="1825CA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44.09</w:t>
            </w:r>
          </w:p>
        </w:tc>
      </w:tr>
      <w:tr w14:paraId="16926A4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47" w:type="dxa"/>
            <w:shd w:val="clear" w:color="auto" w:fill="auto"/>
            <w:noWrap/>
            <w:vAlign w:val="center"/>
          </w:tcPr>
          <w:p w14:paraId="646C978C">
            <w:pPr>
              <w:widowControl/>
              <w:jc w:val="center"/>
              <w:rPr>
                <w:rFonts w:eastAsia="等线"/>
                <w:kern w:val="0"/>
                <w:sz w:val="18"/>
                <w:szCs w:val="18"/>
                <w:highlight w:val="none"/>
              </w:rPr>
            </w:pPr>
            <w:r>
              <w:rPr>
                <w:rFonts w:eastAsia="等线"/>
                <w:kern w:val="0"/>
                <w:sz w:val="18"/>
                <w:szCs w:val="18"/>
                <w:highlight w:val="none"/>
              </w:rPr>
              <w:t>3</w:t>
            </w:r>
          </w:p>
        </w:tc>
        <w:tc>
          <w:tcPr>
            <w:tcW w:w="2226" w:type="dxa"/>
            <w:shd w:val="clear" w:color="auto" w:fill="auto"/>
            <w:vAlign w:val="center"/>
          </w:tcPr>
          <w:p w14:paraId="34FEBD30">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湖南省城乡居民社会养老保险管理服务中心</w:t>
            </w:r>
          </w:p>
        </w:tc>
        <w:tc>
          <w:tcPr>
            <w:tcW w:w="969" w:type="dxa"/>
            <w:shd w:val="clear" w:color="auto" w:fill="auto"/>
            <w:noWrap/>
            <w:vAlign w:val="center"/>
          </w:tcPr>
          <w:p w14:paraId="2BACA0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031" w:type="dxa"/>
            <w:shd w:val="clear" w:color="auto" w:fill="auto"/>
            <w:noWrap/>
            <w:vAlign w:val="center"/>
          </w:tcPr>
          <w:p w14:paraId="18931B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45.5</w:t>
            </w:r>
            <w:r>
              <w:rPr>
                <w:rFonts w:hint="eastAsia" w:ascii="Times New Roman" w:hAnsi="Times New Roman" w:eastAsia="宋体" w:cs="Times New Roman"/>
                <w:i w:val="0"/>
                <w:iCs w:val="0"/>
                <w:color w:val="000000"/>
                <w:kern w:val="0"/>
                <w:sz w:val="18"/>
                <w:szCs w:val="18"/>
                <w:u w:val="none"/>
                <w:lang w:val="en-US" w:eastAsia="zh-CN" w:bidi="ar"/>
              </w:rPr>
              <w:t>0</w:t>
            </w:r>
          </w:p>
        </w:tc>
        <w:tc>
          <w:tcPr>
            <w:tcW w:w="1157" w:type="dxa"/>
            <w:shd w:val="clear" w:color="auto" w:fill="auto"/>
            <w:noWrap/>
            <w:vAlign w:val="center"/>
          </w:tcPr>
          <w:p w14:paraId="5E9BE6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30.47</w:t>
            </w:r>
          </w:p>
        </w:tc>
        <w:tc>
          <w:tcPr>
            <w:tcW w:w="1064" w:type="dxa"/>
            <w:shd w:val="clear" w:color="auto" w:fill="auto"/>
            <w:vAlign w:val="center"/>
          </w:tcPr>
          <w:p w14:paraId="1DEA33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75.97</w:t>
            </w:r>
          </w:p>
        </w:tc>
        <w:tc>
          <w:tcPr>
            <w:tcW w:w="1023" w:type="dxa"/>
            <w:shd w:val="clear" w:color="auto" w:fill="auto"/>
            <w:noWrap/>
            <w:vAlign w:val="center"/>
          </w:tcPr>
          <w:p w14:paraId="3CBD1C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75.51</w:t>
            </w:r>
          </w:p>
        </w:tc>
        <w:tc>
          <w:tcPr>
            <w:tcW w:w="1296" w:type="dxa"/>
            <w:shd w:val="clear" w:color="auto" w:fill="auto"/>
            <w:noWrap/>
            <w:vAlign w:val="center"/>
          </w:tcPr>
          <w:p w14:paraId="3E09BC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0.46</w:t>
            </w:r>
          </w:p>
        </w:tc>
      </w:tr>
      <w:tr w14:paraId="47F2FA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dxa"/>
            <w:shd w:val="clear" w:color="auto" w:fill="auto"/>
            <w:noWrap/>
            <w:vAlign w:val="center"/>
          </w:tcPr>
          <w:p w14:paraId="0A02DF9C">
            <w:pPr>
              <w:widowControl/>
              <w:jc w:val="center"/>
              <w:rPr>
                <w:rFonts w:eastAsia="等线"/>
                <w:kern w:val="0"/>
                <w:sz w:val="18"/>
                <w:szCs w:val="18"/>
                <w:highlight w:val="none"/>
              </w:rPr>
            </w:pPr>
            <w:r>
              <w:rPr>
                <w:rFonts w:eastAsia="等线"/>
                <w:kern w:val="0"/>
                <w:sz w:val="18"/>
                <w:szCs w:val="18"/>
                <w:highlight w:val="none"/>
              </w:rPr>
              <w:t>4</w:t>
            </w:r>
          </w:p>
        </w:tc>
        <w:tc>
          <w:tcPr>
            <w:tcW w:w="2226" w:type="dxa"/>
            <w:shd w:val="clear" w:color="auto" w:fill="auto"/>
            <w:vAlign w:val="center"/>
          </w:tcPr>
          <w:p w14:paraId="2B492CA7">
            <w:pPr>
              <w:widowControl/>
              <w:jc w:val="center"/>
              <w:rPr>
                <w:rFonts w:hint="eastAsia" w:eastAsia="等线"/>
                <w:kern w:val="0"/>
                <w:sz w:val="18"/>
                <w:szCs w:val="18"/>
                <w:highlight w:val="none"/>
              </w:rPr>
            </w:pPr>
            <w:r>
              <w:rPr>
                <w:rFonts w:hint="eastAsia" w:ascii="仿宋_GB2312" w:hAnsi="等线" w:eastAsia="仿宋_GB2312" w:cs="宋体"/>
                <w:kern w:val="0"/>
                <w:sz w:val="18"/>
                <w:szCs w:val="18"/>
                <w:highlight w:val="none"/>
              </w:rPr>
              <w:t>湖南省机关事业单位养老保险管理服务中心</w:t>
            </w:r>
          </w:p>
        </w:tc>
        <w:tc>
          <w:tcPr>
            <w:tcW w:w="969" w:type="dxa"/>
            <w:shd w:val="clear" w:color="auto" w:fill="auto"/>
            <w:noWrap/>
            <w:vAlign w:val="center"/>
          </w:tcPr>
          <w:p w14:paraId="3142D9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9.12</w:t>
            </w:r>
          </w:p>
        </w:tc>
        <w:tc>
          <w:tcPr>
            <w:tcW w:w="1031" w:type="dxa"/>
            <w:shd w:val="clear" w:color="auto" w:fill="auto"/>
            <w:noWrap/>
            <w:vAlign w:val="center"/>
          </w:tcPr>
          <w:p w14:paraId="6C997E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1157" w:type="dxa"/>
            <w:shd w:val="clear" w:color="auto" w:fill="auto"/>
            <w:noWrap/>
            <w:vAlign w:val="center"/>
          </w:tcPr>
          <w:p w14:paraId="579049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064" w:type="dxa"/>
            <w:shd w:val="clear" w:color="auto" w:fill="auto"/>
            <w:noWrap/>
            <w:vAlign w:val="center"/>
          </w:tcPr>
          <w:p w14:paraId="5561F1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173.12</w:t>
            </w:r>
          </w:p>
        </w:tc>
        <w:tc>
          <w:tcPr>
            <w:tcW w:w="1023" w:type="dxa"/>
            <w:shd w:val="clear" w:color="auto" w:fill="auto"/>
            <w:noWrap/>
            <w:vAlign w:val="center"/>
          </w:tcPr>
          <w:p w14:paraId="29822D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170.12</w:t>
            </w:r>
          </w:p>
        </w:tc>
        <w:tc>
          <w:tcPr>
            <w:tcW w:w="1296" w:type="dxa"/>
            <w:shd w:val="clear" w:color="auto" w:fill="auto"/>
            <w:noWrap/>
            <w:vAlign w:val="center"/>
          </w:tcPr>
          <w:p w14:paraId="020D01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Times New Roman" w:hAnsi="Times New Roman" w:eastAsia="宋体" w:cs="Times New Roman"/>
                <w:i w:val="0"/>
                <w:iCs w:val="0"/>
                <w:color w:val="000000"/>
                <w:kern w:val="0"/>
                <w:sz w:val="18"/>
                <w:szCs w:val="18"/>
                <w:u w:val="none"/>
                <w:lang w:val="en-US" w:eastAsia="zh-CN" w:bidi="ar"/>
              </w:rPr>
              <w:t>.00</w:t>
            </w:r>
          </w:p>
        </w:tc>
      </w:tr>
      <w:tr w14:paraId="7276DB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7" w:type="dxa"/>
            <w:tcBorders>
              <w:bottom w:val="nil"/>
            </w:tcBorders>
            <w:shd w:val="clear" w:color="auto" w:fill="auto"/>
            <w:noWrap/>
            <w:vAlign w:val="center"/>
          </w:tcPr>
          <w:p w14:paraId="4F86DAAC">
            <w:pPr>
              <w:widowControl/>
              <w:jc w:val="center"/>
              <w:rPr>
                <w:rFonts w:eastAsia="等线"/>
                <w:kern w:val="0"/>
                <w:sz w:val="18"/>
                <w:szCs w:val="18"/>
                <w:highlight w:val="none"/>
              </w:rPr>
            </w:pPr>
            <w:r>
              <w:rPr>
                <w:rFonts w:eastAsia="等线"/>
                <w:kern w:val="0"/>
                <w:sz w:val="18"/>
                <w:szCs w:val="18"/>
                <w:highlight w:val="none"/>
              </w:rPr>
              <w:t>5</w:t>
            </w:r>
          </w:p>
        </w:tc>
        <w:tc>
          <w:tcPr>
            <w:tcW w:w="2226" w:type="dxa"/>
            <w:tcBorders>
              <w:bottom w:val="nil"/>
            </w:tcBorders>
            <w:shd w:val="clear" w:color="auto" w:fill="auto"/>
            <w:vAlign w:val="center"/>
          </w:tcPr>
          <w:p w14:paraId="037FC896">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湖南省人力资源服务中心</w:t>
            </w:r>
          </w:p>
        </w:tc>
        <w:tc>
          <w:tcPr>
            <w:tcW w:w="969" w:type="dxa"/>
            <w:tcBorders>
              <w:bottom w:val="nil"/>
            </w:tcBorders>
            <w:shd w:val="clear" w:color="auto" w:fill="auto"/>
            <w:noWrap/>
            <w:vAlign w:val="center"/>
          </w:tcPr>
          <w:p w14:paraId="583EDC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387.79</w:t>
            </w:r>
          </w:p>
        </w:tc>
        <w:tc>
          <w:tcPr>
            <w:tcW w:w="1031" w:type="dxa"/>
            <w:tcBorders>
              <w:bottom w:val="nil"/>
            </w:tcBorders>
            <w:shd w:val="clear" w:color="auto" w:fill="auto"/>
            <w:noWrap/>
            <w:vAlign w:val="center"/>
          </w:tcPr>
          <w:p w14:paraId="7EA331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858</w:t>
            </w:r>
          </w:p>
        </w:tc>
        <w:tc>
          <w:tcPr>
            <w:tcW w:w="1157" w:type="dxa"/>
            <w:tcBorders>
              <w:bottom w:val="nil"/>
            </w:tcBorders>
            <w:shd w:val="clear" w:color="auto" w:fill="auto"/>
            <w:noWrap/>
            <w:vAlign w:val="center"/>
          </w:tcPr>
          <w:p w14:paraId="55A574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294.71</w:t>
            </w:r>
          </w:p>
        </w:tc>
        <w:tc>
          <w:tcPr>
            <w:tcW w:w="1064" w:type="dxa"/>
            <w:tcBorders>
              <w:bottom w:val="nil"/>
            </w:tcBorders>
            <w:shd w:val="clear" w:color="auto" w:fill="auto"/>
            <w:vAlign w:val="center"/>
          </w:tcPr>
          <w:p w14:paraId="47810B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1,540.50</w:t>
            </w:r>
          </w:p>
        </w:tc>
        <w:tc>
          <w:tcPr>
            <w:tcW w:w="1023" w:type="dxa"/>
            <w:tcBorders>
              <w:bottom w:val="nil"/>
            </w:tcBorders>
            <w:shd w:val="clear" w:color="auto" w:fill="auto"/>
            <w:noWrap/>
            <w:vAlign w:val="center"/>
          </w:tcPr>
          <w:p w14:paraId="3CA865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1,452.09</w:t>
            </w:r>
          </w:p>
        </w:tc>
        <w:tc>
          <w:tcPr>
            <w:tcW w:w="1296" w:type="dxa"/>
            <w:tcBorders>
              <w:bottom w:val="nil"/>
            </w:tcBorders>
            <w:shd w:val="clear" w:color="auto" w:fill="auto"/>
            <w:noWrap/>
            <w:vAlign w:val="center"/>
          </w:tcPr>
          <w:p w14:paraId="235442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88.41</w:t>
            </w:r>
          </w:p>
        </w:tc>
      </w:tr>
      <w:tr w14:paraId="4385E7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7" w:type="dxa"/>
            <w:tcBorders>
              <w:top w:val="nil"/>
            </w:tcBorders>
            <w:shd w:val="clear" w:color="auto" w:fill="auto"/>
            <w:noWrap/>
            <w:vAlign w:val="center"/>
          </w:tcPr>
          <w:p w14:paraId="54D40FA5">
            <w:pPr>
              <w:widowControl/>
              <w:jc w:val="center"/>
              <w:rPr>
                <w:rFonts w:eastAsia="等线"/>
                <w:kern w:val="0"/>
                <w:sz w:val="18"/>
                <w:szCs w:val="18"/>
                <w:highlight w:val="none"/>
              </w:rPr>
            </w:pPr>
            <w:r>
              <w:rPr>
                <w:rFonts w:eastAsia="等线"/>
                <w:kern w:val="0"/>
                <w:sz w:val="18"/>
                <w:szCs w:val="18"/>
                <w:highlight w:val="none"/>
              </w:rPr>
              <w:t>6</w:t>
            </w:r>
          </w:p>
        </w:tc>
        <w:tc>
          <w:tcPr>
            <w:tcW w:w="2226" w:type="dxa"/>
            <w:tcBorders>
              <w:top w:val="nil"/>
            </w:tcBorders>
            <w:shd w:val="clear" w:color="auto" w:fill="auto"/>
            <w:vAlign w:val="center"/>
          </w:tcPr>
          <w:p w14:paraId="6668FF49">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湖南省就业服务中心</w:t>
            </w:r>
          </w:p>
        </w:tc>
        <w:tc>
          <w:tcPr>
            <w:tcW w:w="969" w:type="dxa"/>
            <w:tcBorders>
              <w:top w:val="nil"/>
            </w:tcBorders>
            <w:shd w:val="clear" w:color="auto" w:fill="auto"/>
            <w:noWrap/>
            <w:vAlign w:val="center"/>
          </w:tcPr>
          <w:p w14:paraId="651685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199.75</w:t>
            </w:r>
          </w:p>
        </w:tc>
        <w:tc>
          <w:tcPr>
            <w:tcW w:w="1031" w:type="dxa"/>
            <w:tcBorders>
              <w:top w:val="nil"/>
            </w:tcBorders>
            <w:shd w:val="clear" w:color="auto" w:fill="auto"/>
            <w:noWrap/>
            <w:vAlign w:val="center"/>
          </w:tcPr>
          <w:p w14:paraId="2C032A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88.36</w:t>
            </w:r>
          </w:p>
        </w:tc>
        <w:tc>
          <w:tcPr>
            <w:tcW w:w="1157" w:type="dxa"/>
            <w:tcBorders>
              <w:top w:val="nil"/>
            </w:tcBorders>
            <w:shd w:val="clear" w:color="auto" w:fill="auto"/>
            <w:noWrap/>
            <w:vAlign w:val="center"/>
          </w:tcPr>
          <w:p w14:paraId="108F49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1064" w:type="dxa"/>
            <w:tcBorders>
              <w:top w:val="nil"/>
            </w:tcBorders>
            <w:shd w:val="clear" w:color="auto" w:fill="auto"/>
            <w:vAlign w:val="center"/>
          </w:tcPr>
          <w:p w14:paraId="63F92F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778.11</w:t>
            </w:r>
          </w:p>
        </w:tc>
        <w:tc>
          <w:tcPr>
            <w:tcW w:w="1023" w:type="dxa"/>
            <w:tcBorders>
              <w:top w:val="nil"/>
            </w:tcBorders>
            <w:shd w:val="clear" w:color="auto" w:fill="auto"/>
            <w:noWrap/>
            <w:vAlign w:val="center"/>
          </w:tcPr>
          <w:p w14:paraId="698FF9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505.24</w:t>
            </w:r>
          </w:p>
        </w:tc>
        <w:tc>
          <w:tcPr>
            <w:tcW w:w="1296" w:type="dxa"/>
            <w:tcBorders>
              <w:top w:val="nil"/>
            </w:tcBorders>
            <w:shd w:val="clear" w:color="auto" w:fill="auto"/>
            <w:noWrap/>
            <w:vAlign w:val="center"/>
          </w:tcPr>
          <w:p w14:paraId="536422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272.87</w:t>
            </w:r>
          </w:p>
        </w:tc>
      </w:tr>
      <w:tr w14:paraId="1F611C6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7" w:type="dxa"/>
            <w:shd w:val="clear" w:color="auto" w:fill="auto"/>
            <w:noWrap/>
            <w:vAlign w:val="center"/>
          </w:tcPr>
          <w:p w14:paraId="030F046D">
            <w:pPr>
              <w:widowControl/>
              <w:jc w:val="center"/>
              <w:rPr>
                <w:rFonts w:eastAsia="等线"/>
                <w:kern w:val="0"/>
                <w:sz w:val="18"/>
                <w:szCs w:val="18"/>
                <w:highlight w:val="none"/>
              </w:rPr>
            </w:pPr>
            <w:r>
              <w:rPr>
                <w:rFonts w:eastAsia="等线"/>
                <w:kern w:val="0"/>
                <w:sz w:val="18"/>
                <w:szCs w:val="18"/>
                <w:highlight w:val="none"/>
              </w:rPr>
              <w:t>7</w:t>
            </w:r>
          </w:p>
        </w:tc>
        <w:tc>
          <w:tcPr>
            <w:tcW w:w="2226" w:type="dxa"/>
            <w:shd w:val="clear" w:color="auto" w:fill="auto"/>
            <w:vAlign w:val="center"/>
          </w:tcPr>
          <w:p w14:paraId="722984CA">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湖南省人民武装学校</w:t>
            </w:r>
          </w:p>
        </w:tc>
        <w:tc>
          <w:tcPr>
            <w:tcW w:w="969" w:type="dxa"/>
            <w:shd w:val="clear" w:color="auto" w:fill="auto"/>
            <w:noWrap/>
            <w:vAlign w:val="center"/>
          </w:tcPr>
          <w:p w14:paraId="3DD826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31" w:type="dxa"/>
            <w:shd w:val="clear" w:color="auto" w:fill="auto"/>
            <w:noWrap/>
            <w:vAlign w:val="center"/>
          </w:tcPr>
          <w:p w14:paraId="284079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173.24</w:t>
            </w:r>
          </w:p>
        </w:tc>
        <w:tc>
          <w:tcPr>
            <w:tcW w:w="1157" w:type="dxa"/>
            <w:shd w:val="clear" w:color="auto" w:fill="auto"/>
            <w:noWrap/>
            <w:vAlign w:val="center"/>
          </w:tcPr>
          <w:p w14:paraId="4C8342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128.77</w:t>
            </w:r>
          </w:p>
        </w:tc>
        <w:tc>
          <w:tcPr>
            <w:tcW w:w="1064" w:type="dxa"/>
            <w:shd w:val="clear" w:color="auto" w:fill="auto"/>
            <w:vAlign w:val="center"/>
          </w:tcPr>
          <w:p w14:paraId="628DB3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302.01</w:t>
            </w:r>
          </w:p>
        </w:tc>
        <w:tc>
          <w:tcPr>
            <w:tcW w:w="1023" w:type="dxa"/>
            <w:shd w:val="clear" w:color="auto" w:fill="auto"/>
            <w:noWrap/>
            <w:vAlign w:val="center"/>
          </w:tcPr>
          <w:p w14:paraId="7131CD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294.96</w:t>
            </w:r>
          </w:p>
        </w:tc>
        <w:tc>
          <w:tcPr>
            <w:tcW w:w="1296" w:type="dxa"/>
            <w:shd w:val="clear" w:color="auto" w:fill="auto"/>
            <w:noWrap/>
            <w:vAlign w:val="center"/>
          </w:tcPr>
          <w:p w14:paraId="1E9A45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7.05</w:t>
            </w:r>
          </w:p>
        </w:tc>
      </w:tr>
      <w:tr w14:paraId="00F21D6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47" w:type="dxa"/>
            <w:tcBorders>
              <w:bottom w:val="single" w:color="auto" w:sz="4" w:space="0"/>
            </w:tcBorders>
            <w:shd w:val="clear" w:color="auto" w:fill="auto"/>
            <w:noWrap/>
            <w:vAlign w:val="center"/>
          </w:tcPr>
          <w:p w14:paraId="6B8B39D6">
            <w:pPr>
              <w:widowControl/>
              <w:jc w:val="center"/>
              <w:rPr>
                <w:rFonts w:eastAsia="等线"/>
                <w:kern w:val="0"/>
                <w:sz w:val="18"/>
                <w:szCs w:val="18"/>
                <w:highlight w:val="none"/>
              </w:rPr>
            </w:pPr>
            <w:r>
              <w:rPr>
                <w:rFonts w:eastAsia="等线"/>
                <w:kern w:val="0"/>
                <w:sz w:val="18"/>
                <w:szCs w:val="18"/>
                <w:highlight w:val="none"/>
              </w:rPr>
              <w:t>8</w:t>
            </w:r>
          </w:p>
        </w:tc>
        <w:tc>
          <w:tcPr>
            <w:tcW w:w="2226" w:type="dxa"/>
            <w:tcBorders>
              <w:bottom w:val="single" w:color="auto" w:sz="4" w:space="0"/>
            </w:tcBorders>
            <w:shd w:val="clear" w:color="auto" w:fill="auto"/>
            <w:vAlign w:val="center"/>
          </w:tcPr>
          <w:p w14:paraId="5736BD34">
            <w:pPr>
              <w:widowControl/>
              <w:jc w:val="center"/>
              <w:rPr>
                <w:rFonts w:hint="eastAsia" w:ascii="仿宋_GB2312" w:hAnsi="等线" w:eastAsia="仿宋_GB2312" w:cs="宋体"/>
                <w:kern w:val="0"/>
                <w:sz w:val="18"/>
                <w:szCs w:val="18"/>
                <w:highlight w:val="none"/>
              </w:rPr>
            </w:pPr>
            <w:r>
              <w:rPr>
                <w:rFonts w:hint="eastAsia" w:ascii="仿宋_GB2312" w:hAnsi="等线" w:eastAsia="仿宋_GB2312" w:cs="宋体"/>
                <w:kern w:val="0"/>
                <w:sz w:val="18"/>
                <w:szCs w:val="18"/>
                <w:highlight w:val="none"/>
              </w:rPr>
              <w:t>湖南省人事考试院</w:t>
            </w:r>
          </w:p>
        </w:tc>
        <w:tc>
          <w:tcPr>
            <w:tcW w:w="969" w:type="dxa"/>
            <w:tcBorders>
              <w:bottom w:val="single" w:color="auto" w:sz="4" w:space="0"/>
            </w:tcBorders>
            <w:shd w:val="clear" w:color="auto" w:fill="auto"/>
            <w:noWrap/>
            <w:vAlign w:val="center"/>
          </w:tcPr>
          <w:p w14:paraId="6A0554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24.51</w:t>
            </w:r>
          </w:p>
        </w:tc>
        <w:tc>
          <w:tcPr>
            <w:tcW w:w="1031" w:type="dxa"/>
            <w:tcBorders>
              <w:bottom w:val="single" w:color="auto" w:sz="4" w:space="0"/>
            </w:tcBorders>
            <w:shd w:val="clear" w:color="auto" w:fill="auto"/>
            <w:noWrap/>
            <w:vAlign w:val="center"/>
          </w:tcPr>
          <w:p w14:paraId="698684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5,186.76</w:t>
            </w:r>
          </w:p>
        </w:tc>
        <w:tc>
          <w:tcPr>
            <w:tcW w:w="1157" w:type="dxa"/>
            <w:tcBorders>
              <w:bottom w:val="single" w:color="auto" w:sz="4" w:space="0"/>
            </w:tcBorders>
            <w:shd w:val="clear" w:color="auto" w:fill="auto"/>
            <w:noWrap/>
            <w:vAlign w:val="center"/>
          </w:tcPr>
          <w:p w14:paraId="68A7DD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1,245.99</w:t>
            </w:r>
          </w:p>
        </w:tc>
        <w:tc>
          <w:tcPr>
            <w:tcW w:w="1064" w:type="dxa"/>
            <w:tcBorders>
              <w:bottom w:val="single" w:color="auto" w:sz="4" w:space="0"/>
            </w:tcBorders>
            <w:shd w:val="clear" w:color="auto" w:fill="auto"/>
            <w:vAlign w:val="center"/>
          </w:tcPr>
          <w:p w14:paraId="0AF70A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6,457.26</w:t>
            </w:r>
          </w:p>
        </w:tc>
        <w:tc>
          <w:tcPr>
            <w:tcW w:w="1023" w:type="dxa"/>
            <w:tcBorders>
              <w:bottom w:val="single" w:color="auto" w:sz="4" w:space="0"/>
            </w:tcBorders>
            <w:shd w:val="clear" w:color="auto" w:fill="auto"/>
            <w:noWrap/>
            <w:vAlign w:val="center"/>
          </w:tcPr>
          <w:p w14:paraId="425AB8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4,034.77</w:t>
            </w:r>
          </w:p>
        </w:tc>
        <w:tc>
          <w:tcPr>
            <w:tcW w:w="1296" w:type="dxa"/>
            <w:tcBorders>
              <w:bottom w:val="single" w:color="auto" w:sz="4" w:space="0"/>
            </w:tcBorders>
            <w:shd w:val="clear" w:color="auto" w:fill="auto"/>
            <w:noWrap/>
            <w:vAlign w:val="center"/>
          </w:tcPr>
          <w:p w14:paraId="2D67C4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2,422.49</w:t>
            </w:r>
          </w:p>
        </w:tc>
      </w:tr>
      <w:tr w14:paraId="43AF133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73" w:type="dxa"/>
            <w:gridSpan w:val="2"/>
            <w:tcBorders>
              <w:top w:val="single" w:color="auto" w:sz="4" w:space="0"/>
              <w:bottom w:val="single" w:color="auto" w:sz="12" w:space="0"/>
            </w:tcBorders>
            <w:shd w:val="clear" w:color="auto" w:fill="auto"/>
            <w:noWrap/>
            <w:vAlign w:val="center"/>
          </w:tcPr>
          <w:p w14:paraId="635F0DD3">
            <w:pPr>
              <w:widowControl/>
              <w:jc w:val="center"/>
              <w:rPr>
                <w:rFonts w:hint="eastAsia" w:ascii="宋体" w:hAnsi="宋体" w:cs="宋体"/>
                <w:b/>
                <w:bCs/>
                <w:color w:val="000000"/>
                <w:kern w:val="0"/>
                <w:sz w:val="20"/>
                <w:szCs w:val="20"/>
                <w:highlight w:val="none"/>
              </w:rPr>
            </w:pPr>
            <w:r>
              <w:rPr>
                <w:rFonts w:hint="eastAsia" w:ascii="仿宋_GB2312" w:hAnsi="等线" w:eastAsia="仿宋_GB2312" w:cs="宋体"/>
                <w:b/>
                <w:bCs/>
                <w:kern w:val="0"/>
                <w:sz w:val="18"/>
                <w:szCs w:val="18"/>
                <w:highlight w:val="none"/>
              </w:rPr>
              <w:t>合</w:t>
            </w:r>
            <w:r>
              <w:rPr>
                <w:rFonts w:hint="eastAsia" w:ascii="仿宋_GB2312" w:hAnsi="等线" w:eastAsia="仿宋_GB2312" w:cs="宋体"/>
                <w:b/>
                <w:bCs/>
                <w:kern w:val="0"/>
                <w:sz w:val="18"/>
                <w:szCs w:val="18"/>
                <w:highlight w:val="none"/>
                <w:lang w:val="en-US" w:eastAsia="zh-CN"/>
              </w:rPr>
              <w:t xml:space="preserve">  </w:t>
            </w:r>
            <w:r>
              <w:rPr>
                <w:rFonts w:hint="eastAsia" w:ascii="仿宋_GB2312" w:hAnsi="等线" w:eastAsia="仿宋_GB2312" w:cs="宋体"/>
                <w:b/>
                <w:bCs/>
                <w:kern w:val="0"/>
                <w:sz w:val="18"/>
                <w:szCs w:val="18"/>
                <w:highlight w:val="none"/>
              </w:rPr>
              <w:t>计</w:t>
            </w:r>
          </w:p>
        </w:tc>
        <w:tc>
          <w:tcPr>
            <w:tcW w:w="969" w:type="dxa"/>
            <w:tcBorders>
              <w:top w:val="single" w:color="auto" w:sz="4" w:space="0"/>
              <w:bottom w:val="single" w:color="auto" w:sz="12" w:space="0"/>
            </w:tcBorders>
            <w:shd w:val="clear" w:color="auto" w:fill="auto"/>
            <w:noWrap/>
            <w:vAlign w:val="center"/>
          </w:tcPr>
          <w:p w14:paraId="50A238D6">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2,144.27</w:t>
            </w:r>
          </w:p>
        </w:tc>
        <w:tc>
          <w:tcPr>
            <w:tcW w:w="1031" w:type="dxa"/>
            <w:tcBorders>
              <w:top w:val="single" w:color="auto" w:sz="4" w:space="0"/>
              <w:bottom w:val="single" w:color="auto" w:sz="12" w:space="0"/>
            </w:tcBorders>
            <w:shd w:val="clear" w:color="auto" w:fill="auto"/>
            <w:noWrap/>
            <w:vAlign w:val="center"/>
          </w:tcPr>
          <w:p w14:paraId="7A6B3F3B">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10,364.82</w:t>
            </w:r>
          </w:p>
        </w:tc>
        <w:tc>
          <w:tcPr>
            <w:tcW w:w="1157" w:type="dxa"/>
            <w:tcBorders>
              <w:top w:val="single" w:color="auto" w:sz="4" w:space="0"/>
              <w:bottom w:val="single" w:color="auto" w:sz="12" w:space="0"/>
            </w:tcBorders>
            <w:shd w:val="clear" w:color="auto" w:fill="auto"/>
            <w:noWrap/>
            <w:vAlign w:val="center"/>
          </w:tcPr>
          <w:p w14:paraId="7F65C44C">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6,648.56</w:t>
            </w:r>
          </w:p>
        </w:tc>
        <w:tc>
          <w:tcPr>
            <w:tcW w:w="1064" w:type="dxa"/>
            <w:tcBorders>
              <w:top w:val="single" w:color="auto" w:sz="4" w:space="0"/>
              <w:bottom w:val="single" w:color="auto" w:sz="12" w:space="0"/>
            </w:tcBorders>
            <w:shd w:val="clear" w:color="auto" w:fill="auto"/>
            <w:noWrap/>
            <w:vAlign w:val="center"/>
          </w:tcPr>
          <w:p w14:paraId="7E28A033">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19,158.14</w:t>
            </w:r>
          </w:p>
        </w:tc>
        <w:tc>
          <w:tcPr>
            <w:tcW w:w="1023" w:type="dxa"/>
            <w:tcBorders>
              <w:top w:val="single" w:color="auto" w:sz="4" w:space="0"/>
              <w:bottom w:val="single" w:color="auto" w:sz="12" w:space="0"/>
            </w:tcBorders>
            <w:shd w:val="clear" w:color="auto" w:fill="auto"/>
            <w:noWrap/>
            <w:vAlign w:val="center"/>
          </w:tcPr>
          <w:p w14:paraId="7796C9D2">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15,224.63</w:t>
            </w:r>
          </w:p>
        </w:tc>
        <w:tc>
          <w:tcPr>
            <w:tcW w:w="1296" w:type="dxa"/>
            <w:tcBorders>
              <w:top w:val="single" w:color="auto" w:sz="4" w:space="0"/>
              <w:bottom w:val="single" w:color="auto" w:sz="12" w:space="0"/>
            </w:tcBorders>
            <w:shd w:val="clear" w:color="auto" w:fill="auto"/>
            <w:noWrap/>
            <w:vAlign w:val="center"/>
          </w:tcPr>
          <w:p w14:paraId="6EC982E2">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18"/>
                <w:szCs w:val="18"/>
                <w:u w:val="none"/>
                <w:lang w:val="en-US" w:eastAsia="zh-CN" w:bidi="ar"/>
              </w:rPr>
            </w:pPr>
            <w:r>
              <w:rPr>
                <w:rFonts w:hint="eastAsia" w:ascii="Times New Roman" w:hAnsi="Times New Roman" w:eastAsia="宋体" w:cs="Times New Roman"/>
                <w:b/>
                <w:bCs/>
                <w:i w:val="0"/>
                <w:iCs w:val="0"/>
                <w:color w:val="000000"/>
                <w:kern w:val="0"/>
                <w:sz w:val="18"/>
                <w:szCs w:val="18"/>
                <w:u w:val="none"/>
                <w:lang w:val="en-US" w:eastAsia="zh-CN" w:bidi="ar"/>
              </w:rPr>
              <w:t>3,933.01</w:t>
            </w:r>
          </w:p>
        </w:tc>
      </w:tr>
    </w:tbl>
    <w:p w14:paraId="48C8E0EC">
      <w:pPr>
        <w:spacing w:line="592" w:lineRule="exact"/>
        <w:ind w:firstLine="640" w:firstLineChars="200"/>
        <w:rPr>
          <w:rFonts w:hint="eastAsia" w:eastAsia="仿宋_GB2312"/>
          <w:snapToGrid w:val="0"/>
          <w:kern w:val="0"/>
          <w:sz w:val="32"/>
          <w:szCs w:val="32"/>
          <w:highlight w:val="none"/>
        </w:rPr>
      </w:pPr>
      <w:r>
        <w:rPr>
          <w:rFonts w:hint="eastAsia" w:eastAsia="仿宋_GB2312"/>
          <w:snapToGrid w:val="0"/>
          <w:kern w:val="0"/>
          <w:sz w:val="32"/>
          <w:szCs w:val="32"/>
          <w:highlight w:val="none"/>
        </w:rPr>
        <w:t>（1）业务工作经费</w:t>
      </w:r>
    </w:p>
    <w:p w14:paraId="40CB6C87">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年我厅纳入绩效自评范围的一般公共预算业务工作经费预算资金总额为</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464.15</w:t>
      </w:r>
      <w:r>
        <w:rPr>
          <w:rFonts w:hint="eastAsia" w:eastAsia="仿宋_GB2312"/>
          <w:snapToGrid w:val="0"/>
          <w:kern w:val="0"/>
          <w:sz w:val="32"/>
          <w:szCs w:val="32"/>
          <w:highlight w:val="none"/>
        </w:rPr>
        <w:t>万元，其中：上年结转</w:t>
      </w:r>
      <w:r>
        <w:rPr>
          <w:rFonts w:hint="eastAsia" w:eastAsia="仿宋_GB2312"/>
          <w:snapToGrid w:val="0"/>
          <w:kern w:val="0"/>
          <w:sz w:val="32"/>
          <w:szCs w:val="32"/>
          <w:highlight w:val="none"/>
          <w:lang w:val="en-US" w:eastAsia="zh-CN"/>
        </w:rPr>
        <w:t>187.51</w:t>
      </w:r>
      <w:r>
        <w:rPr>
          <w:rFonts w:hint="eastAsia" w:eastAsia="仿宋_GB2312"/>
          <w:snapToGrid w:val="0"/>
          <w:kern w:val="0"/>
          <w:sz w:val="32"/>
          <w:szCs w:val="32"/>
          <w:highlight w:val="none"/>
        </w:rPr>
        <w:t>万元、年初预算</w:t>
      </w:r>
      <w:r>
        <w:rPr>
          <w:rFonts w:eastAsia="仿宋_GB2312"/>
          <w:snapToGrid w:val="0"/>
          <w:kern w:val="0"/>
          <w:sz w:val="32"/>
          <w:szCs w:val="32"/>
          <w:highlight w:val="none"/>
        </w:rPr>
        <w:t>4</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993.80</w:t>
      </w:r>
      <w:r>
        <w:rPr>
          <w:rFonts w:hint="eastAsia" w:eastAsia="仿宋_GB2312"/>
          <w:snapToGrid w:val="0"/>
          <w:kern w:val="0"/>
          <w:sz w:val="32"/>
          <w:szCs w:val="32"/>
          <w:highlight w:val="none"/>
        </w:rPr>
        <w:t>万元、本年调整</w:t>
      </w:r>
      <w:r>
        <w:rPr>
          <w:rFonts w:hint="eastAsia" w:eastAsia="仿宋_GB2312"/>
          <w:snapToGrid w:val="0"/>
          <w:kern w:val="0"/>
          <w:sz w:val="32"/>
          <w:szCs w:val="32"/>
          <w:highlight w:val="none"/>
          <w:lang w:val="en-US" w:eastAsia="zh-CN"/>
        </w:rPr>
        <w:t>282.84</w:t>
      </w:r>
      <w:r>
        <w:rPr>
          <w:rFonts w:hint="eastAsia"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年决算支出5,</w:t>
      </w:r>
      <w:r>
        <w:rPr>
          <w:rFonts w:hint="eastAsia" w:eastAsia="仿宋_GB2312"/>
          <w:snapToGrid w:val="0"/>
          <w:kern w:val="0"/>
          <w:sz w:val="32"/>
          <w:szCs w:val="32"/>
          <w:highlight w:val="none"/>
          <w:lang w:val="en-US" w:eastAsia="zh-CN"/>
        </w:rPr>
        <w:t>240.60</w:t>
      </w:r>
      <w:r>
        <w:rPr>
          <w:rFonts w:hint="eastAsia" w:eastAsia="仿宋_GB2312"/>
          <w:snapToGrid w:val="0"/>
          <w:kern w:val="0"/>
          <w:sz w:val="32"/>
          <w:szCs w:val="32"/>
          <w:highlight w:val="none"/>
        </w:rPr>
        <w:t>万元，预算执行率为</w:t>
      </w:r>
      <w:r>
        <w:rPr>
          <w:rFonts w:hint="eastAsia" w:eastAsia="仿宋_GB2312"/>
          <w:snapToGrid w:val="0"/>
          <w:kern w:val="0"/>
          <w:sz w:val="32"/>
          <w:szCs w:val="32"/>
          <w:highlight w:val="none"/>
          <w:lang w:val="en-US" w:eastAsia="zh-CN"/>
        </w:rPr>
        <w:t>95.91</w:t>
      </w:r>
      <w:r>
        <w:rPr>
          <w:rFonts w:eastAsia="仿宋_GB2312"/>
          <w:snapToGrid w:val="0"/>
          <w:kern w:val="0"/>
          <w:sz w:val="32"/>
          <w:szCs w:val="32"/>
          <w:highlight w:val="none"/>
        </w:rPr>
        <w:t>%</w:t>
      </w:r>
      <w:r>
        <w:rPr>
          <w:rFonts w:hint="eastAsia" w:eastAsia="仿宋_GB2312"/>
          <w:snapToGrid w:val="0"/>
          <w:kern w:val="0"/>
          <w:sz w:val="32"/>
          <w:szCs w:val="32"/>
          <w:highlight w:val="none"/>
        </w:rPr>
        <w:t>。</w:t>
      </w:r>
    </w:p>
    <w:p w14:paraId="570F56BA">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（2）其他事业发展资金</w:t>
      </w:r>
    </w:p>
    <w:p w14:paraId="027EF5B1">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年我厅纳入绩效自评范围的一般公共预算其他事业发展资金预算资金总额为</w:t>
      </w:r>
      <w:bookmarkStart w:id="23" w:name="_Hlk195789827"/>
      <w:r>
        <w:rPr>
          <w:rFonts w:hint="eastAsia" w:eastAsia="仿宋_GB2312"/>
          <w:snapToGrid w:val="0"/>
          <w:kern w:val="0"/>
          <w:sz w:val="32"/>
          <w:szCs w:val="32"/>
          <w:highlight w:val="none"/>
          <w:lang w:val="en-US" w:eastAsia="zh-CN"/>
        </w:rPr>
        <w:t>7</w:t>
      </w:r>
      <w:r>
        <w:rPr>
          <w:rFonts w:hint="eastAsia" w:eastAsia="仿宋_GB2312"/>
          <w:snapToGrid w:val="0"/>
          <w:kern w:val="0"/>
          <w:sz w:val="32"/>
          <w:szCs w:val="32"/>
          <w:highlight w:val="none"/>
        </w:rPr>
        <w:t>,</w:t>
      </w:r>
      <w:bookmarkEnd w:id="23"/>
      <w:r>
        <w:rPr>
          <w:rFonts w:hint="eastAsia" w:eastAsia="仿宋_GB2312"/>
          <w:snapToGrid w:val="0"/>
          <w:kern w:val="0"/>
          <w:sz w:val="32"/>
          <w:szCs w:val="32"/>
          <w:highlight w:val="none"/>
          <w:lang w:val="en-US" w:eastAsia="zh-CN"/>
        </w:rPr>
        <w:t>965.85</w:t>
      </w:r>
      <w:r>
        <w:rPr>
          <w:rFonts w:hint="eastAsia" w:eastAsia="仿宋_GB2312"/>
          <w:snapToGrid w:val="0"/>
          <w:kern w:val="0"/>
          <w:sz w:val="32"/>
          <w:szCs w:val="32"/>
          <w:highlight w:val="none"/>
        </w:rPr>
        <w:t>万元，其中：上年结转</w:t>
      </w:r>
      <w:r>
        <w:rPr>
          <w:rFonts w:hint="eastAsia" w:eastAsia="仿宋_GB2312"/>
          <w:snapToGrid w:val="0"/>
          <w:kern w:val="0"/>
          <w:sz w:val="32"/>
          <w:szCs w:val="32"/>
          <w:highlight w:val="none"/>
          <w:lang w:val="en-US" w:eastAsia="zh-CN"/>
        </w:rPr>
        <w:t>751.22</w:t>
      </w:r>
      <w:r>
        <w:rPr>
          <w:rFonts w:hint="eastAsia" w:eastAsia="仿宋_GB2312"/>
          <w:snapToGrid w:val="0"/>
          <w:kern w:val="0"/>
          <w:sz w:val="32"/>
          <w:szCs w:val="32"/>
          <w:highlight w:val="none"/>
        </w:rPr>
        <w:t>万元、年初预算</w:t>
      </w:r>
      <w:r>
        <w:rPr>
          <w:rFonts w:hint="eastAsia" w:eastAsia="仿宋_GB2312"/>
          <w:snapToGrid w:val="0"/>
          <w:kern w:val="0"/>
          <w:sz w:val="32"/>
          <w:szCs w:val="32"/>
          <w:highlight w:val="none"/>
          <w:lang w:val="en-US" w:eastAsia="zh-CN"/>
        </w:rPr>
        <w:t>4</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853.14</w:t>
      </w:r>
      <w:r>
        <w:rPr>
          <w:rFonts w:hint="eastAsia" w:eastAsia="仿宋_GB2312"/>
          <w:snapToGrid w:val="0"/>
          <w:kern w:val="0"/>
          <w:sz w:val="32"/>
          <w:szCs w:val="32"/>
          <w:highlight w:val="none"/>
        </w:rPr>
        <w:t>万元、本年调整</w:t>
      </w:r>
      <w:r>
        <w:rPr>
          <w:rFonts w:hint="eastAsia" w:eastAsia="仿宋_GB2312"/>
          <w:snapToGrid w:val="0"/>
          <w:kern w:val="0"/>
          <w:sz w:val="32"/>
          <w:szCs w:val="32"/>
          <w:highlight w:val="none"/>
          <w:lang w:val="en-US" w:eastAsia="zh-CN"/>
        </w:rPr>
        <w:t>2</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361.49</w:t>
      </w:r>
      <w:r>
        <w:rPr>
          <w:rFonts w:hint="eastAsia"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年决算支出</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265.50</w:t>
      </w:r>
      <w:r>
        <w:rPr>
          <w:rFonts w:hint="eastAsia" w:eastAsia="仿宋_GB2312"/>
          <w:snapToGrid w:val="0"/>
          <w:kern w:val="0"/>
          <w:sz w:val="32"/>
          <w:szCs w:val="32"/>
          <w:highlight w:val="none"/>
        </w:rPr>
        <w:t>万元，</w:t>
      </w:r>
      <w:r>
        <w:rPr>
          <w:rFonts w:hint="eastAsia" w:eastAsia="仿宋_GB2312"/>
          <w:snapToGrid w:val="0"/>
          <w:kern w:val="0"/>
          <w:sz w:val="32"/>
          <w:szCs w:val="32"/>
          <w:highlight w:val="none"/>
          <w:lang w:eastAsia="zh-CN"/>
        </w:rPr>
        <w:t>剔除湖南省人事考试院应纳入专户管理的非税收入，</w:t>
      </w:r>
      <w:r>
        <w:rPr>
          <w:rFonts w:hint="eastAsia" w:eastAsia="仿宋_GB2312"/>
          <w:snapToGrid w:val="0"/>
          <w:kern w:val="0"/>
          <w:sz w:val="32"/>
          <w:szCs w:val="32"/>
          <w:highlight w:val="none"/>
        </w:rPr>
        <w:t>预算</w:t>
      </w:r>
      <w:r>
        <w:rPr>
          <w:rFonts w:hint="eastAsia" w:eastAsia="仿宋_GB2312"/>
          <w:snapToGrid w:val="0"/>
          <w:kern w:val="0"/>
          <w:sz w:val="32"/>
          <w:szCs w:val="32"/>
          <w:highlight w:val="none"/>
          <w:lang w:eastAsia="zh-CN"/>
        </w:rPr>
        <w:t>执行率为84.65%</w:t>
      </w:r>
      <w:r>
        <w:rPr>
          <w:rFonts w:hint="eastAsia" w:eastAsia="仿宋_GB2312"/>
          <w:snapToGrid w:val="0"/>
          <w:kern w:val="0"/>
          <w:sz w:val="32"/>
          <w:szCs w:val="32"/>
          <w:highlight w:val="none"/>
        </w:rPr>
        <w:t>。</w:t>
      </w:r>
    </w:p>
    <w:p w14:paraId="5BA42BCA">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（3）运行维护经费</w:t>
      </w:r>
    </w:p>
    <w:p w14:paraId="4430CFD5">
      <w:pPr>
        <w:spacing w:line="592" w:lineRule="exact"/>
        <w:ind w:firstLine="640" w:firstLineChars="200"/>
        <w:rPr>
          <w:rFonts w:eastAsia="仿宋_GB2312"/>
          <w:snapToGrid w:val="0"/>
          <w:color w:val="FF0000"/>
          <w:kern w:val="0"/>
          <w:sz w:val="32"/>
          <w:szCs w:val="32"/>
          <w:highlight w:val="none"/>
        </w:rPr>
      </w:pP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年我厅纳入绩效自评范围的一般公共预算运行维护经费预算资金总额为1,0</w:t>
      </w:r>
      <w:r>
        <w:rPr>
          <w:rFonts w:hint="eastAsia" w:eastAsia="仿宋_GB2312"/>
          <w:snapToGrid w:val="0"/>
          <w:kern w:val="0"/>
          <w:sz w:val="32"/>
          <w:szCs w:val="32"/>
          <w:highlight w:val="none"/>
          <w:lang w:val="en-US" w:eastAsia="zh-CN"/>
        </w:rPr>
        <w:t>68.84</w:t>
      </w:r>
      <w:r>
        <w:rPr>
          <w:rFonts w:hint="eastAsia" w:eastAsia="仿宋_GB2312"/>
          <w:snapToGrid w:val="0"/>
          <w:kern w:val="0"/>
          <w:sz w:val="32"/>
          <w:szCs w:val="32"/>
          <w:highlight w:val="none"/>
        </w:rPr>
        <w:t>万元，其中：上年结转</w:t>
      </w:r>
      <w:r>
        <w:rPr>
          <w:rFonts w:hint="eastAsia" w:eastAsia="仿宋_GB2312"/>
          <w:snapToGrid w:val="0"/>
          <w:kern w:val="0"/>
          <w:sz w:val="32"/>
          <w:szCs w:val="32"/>
          <w:highlight w:val="none"/>
          <w:lang w:val="en-US" w:eastAsia="zh-CN"/>
        </w:rPr>
        <w:t>56.12</w:t>
      </w:r>
      <w:r>
        <w:rPr>
          <w:rFonts w:hint="eastAsia" w:eastAsia="仿宋_GB2312"/>
          <w:snapToGrid w:val="0"/>
          <w:kern w:val="0"/>
          <w:sz w:val="32"/>
          <w:szCs w:val="32"/>
          <w:highlight w:val="none"/>
        </w:rPr>
        <w:t>万元、年初预算</w:t>
      </w:r>
      <w:r>
        <w:rPr>
          <w:rFonts w:hint="eastAsia" w:eastAsia="仿宋_GB2312"/>
          <w:snapToGrid w:val="0"/>
          <w:kern w:val="0"/>
          <w:sz w:val="32"/>
          <w:szCs w:val="32"/>
          <w:highlight w:val="none"/>
          <w:lang w:val="en-US" w:eastAsia="zh-CN"/>
        </w:rPr>
        <w:t>517.88</w:t>
      </w:r>
      <w:r>
        <w:rPr>
          <w:rFonts w:hint="eastAsia" w:eastAsia="仿宋_GB2312"/>
          <w:snapToGrid w:val="0"/>
          <w:kern w:val="0"/>
          <w:sz w:val="32"/>
          <w:szCs w:val="32"/>
          <w:highlight w:val="none"/>
        </w:rPr>
        <w:t>万元、本年调整</w:t>
      </w:r>
      <w:r>
        <w:rPr>
          <w:rFonts w:hint="eastAsia" w:eastAsia="仿宋_GB2312"/>
          <w:snapToGrid w:val="0"/>
          <w:kern w:val="0"/>
          <w:sz w:val="32"/>
          <w:szCs w:val="32"/>
          <w:highlight w:val="none"/>
          <w:lang w:val="en-US" w:eastAsia="zh-CN"/>
        </w:rPr>
        <w:t>494.84</w:t>
      </w:r>
      <w:r>
        <w:rPr>
          <w:rFonts w:hint="eastAsia"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年决算支出</w:t>
      </w:r>
      <w:r>
        <w:rPr>
          <w:rFonts w:hint="eastAsia" w:eastAsia="仿宋_GB2312"/>
          <w:snapToGrid w:val="0"/>
          <w:kern w:val="0"/>
          <w:sz w:val="32"/>
          <w:szCs w:val="32"/>
          <w:highlight w:val="none"/>
          <w:lang w:val="en-US" w:eastAsia="zh-CN"/>
        </w:rPr>
        <w:t>959.11</w:t>
      </w:r>
      <w:r>
        <w:rPr>
          <w:rFonts w:hint="eastAsia" w:eastAsia="仿宋_GB2312"/>
          <w:snapToGrid w:val="0"/>
          <w:kern w:val="0"/>
          <w:sz w:val="32"/>
          <w:szCs w:val="32"/>
          <w:highlight w:val="none"/>
        </w:rPr>
        <w:t>万元，预算执行率为</w:t>
      </w:r>
      <w:r>
        <w:rPr>
          <w:rFonts w:hint="eastAsia" w:eastAsia="仿宋_GB2312"/>
          <w:snapToGrid w:val="0"/>
          <w:kern w:val="0"/>
          <w:sz w:val="32"/>
          <w:szCs w:val="32"/>
          <w:highlight w:val="none"/>
          <w:lang w:val="en-US" w:eastAsia="zh-CN"/>
        </w:rPr>
        <w:t>89.73</w:t>
      </w:r>
      <w:r>
        <w:rPr>
          <w:rFonts w:eastAsia="仿宋_GB2312"/>
          <w:snapToGrid w:val="0"/>
          <w:kern w:val="0"/>
          <w:sz w:val="32"/>
          <w:szCs w:val="32"/>
          <w:highlight w:val="none"/>
        </w:rPr>
        <w:t>%</w:t>
      </w:r>
      <w:r>
        <w:rPr>
          <w:rFonts w:hint="eastAsia" w:eastAsia="仿宋_GB2312"/>
          <w:snapToGrid w:val="0"/>
          <w:kern w:val="0"/>
          <w:sz w:val="32"/>
          <w:szCs w:val="32"/>
          <w:highlight w:val="none"/>
        </w:rPr>
        <w:t>。</w:t>
      </w:r>
    </w:p>
    <w:p w14:paraId="1FA1FAFE">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（4）省级专项资金</w:t>
      </w:r>
    </w:p>
    <w:p w14:paraId="2426A93C">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年我厅纳入绩效自评范围的一般公共预算省级专项资金预算资金总额为</w:t>
      </w:r>
      <w:r>
        <w:rPr>
          <w:rFonts w:hint="eastAsia" w:eastAsia="仿宋_GB2312"/>
          <w:snapToGrid w:val="0"/>
          <w:kern w:val="0"/>
          <w:sz w:val="32"/>
          <w:szCs w:val="32"/>
          <w:highlight w:val="none"/>
          <w:lang w:val="en-US" w:eastAsia="zh-CN"/>
        </w:rPr>
        <w:t>4,658.80</w:t>
      </w:r>
      <w:r>
        <w:rPr>
          <w:rFonts w:hint="eastAsia" w:eastAsia="仿宋_GB2312"/>
          <w:snapToGrid w:val="0"/>
          <w:kern w:val="0"/>
          <w:sz w:val="32"/>
          <w:szCs w:val="32"/>
          <w:highlight w:val="none"/>
        </w:rPr>
        <w:t>万元，其中：上年结转</w:t>
      </w:r>
      <w:r>
        <w:rPr>
          <w:rFonts w:eastAsia="仿宋_GB2312"/>
          <w:snapToGrid w:val="0"/>
          <w:kern w:val="0"/>
          <w:sz w:val="32"/>
          <w:szCs w:val="32"/>
          <w:highlight w:val="none"/>
        </w:rPr>
        <w:t>1,1</w:t>
      </w:r>
      <w:r>
        <w:rPr>
          <w:rFonts w:hint="eastAsia" w:eastAsia="仿宋_GB2312"/>
          <w:snapToGrid w:val="0"/>
          <w:kern w:val="0"/>
          <w:sz w:val="32"/>
          <w:szCs w:val="32"/>
          <w:highlight w:val="none"/>
          <w:lang w:val="en-US" w:eastAsia="zh-CN"/>
        </w:rPr>
        <w:t>49.42</w:t>
      </w:r>
      <w:r>
        <w:rPr>
          <w:rFonts w:hint="eastAsia" w:eastAsia="仿宋_GB2312"/>
          <w:snapToGrid w:val="0"/>
          <w:kern w:val="0"/>
          <w:sz w:val="32"/>
          <w:szCs w:val="32"/>
          <w:highlight w:val="none"/>
        </w:rPr>
        <w:t>万元、年初预算</w:t>
      </w:r>
      <w:r>
        <w:rPr>
          <w:rFonts w:hint="eastAsia" w:eastAsia="仿宋_GB2312"/>
          <w:snapToGrid w:val="0"/>
          <w:kern w:val="0"/>
          <w:sz w:val="32"/>
          <w:szCs w:val="32"/>
          <w:highlight w:val="none"/>
          <w:lang w:val="en-US" w:eastAsia="zh-CN"/>
        </w:rPr>
        <w:t>0</w:t>
      </w:r>
      <w:r>
        <w:rPr>
          <w:rFonts w:hint="eastAsia" w:eastAsia="仿宋_GB2312"/>
          <w:snapToGrid w:val="0"/>
          <w:kern w:val="0"/>
          <w:sz w:val="32"/>
          <w:szCs w:val="32"/>
          <w:highlight w:val="none"/>
        </w:rPr>
        <w:t>万元、本年调整</w:t>
      </w:r>
      <w:r>
        <w:rPr>
          <w:rFonts w:hint="eastAsia" w:eastAsia="仿宋_GB2312"/>
          <w:snapToGrid w:val="0"/>
          <w:kern w:val="0"/>
          <w:sz w:val="32"/>
          <w:szCs w:val="32"/>
          <w:highlight w:val="none"/>
          <w:lang w:val="en-US" w:eastAsia="zh-CN"/>
        </w:rPr>
        <w:t>3</w:t>
      </w:r>
      <w:r>
        <w:rPr>
          <w:rFonts w:eastAsia="仿宋_GB2312"/>
          <w:snapToGrid w:val="0"/>
          <w:kern w:val="0"/>
          <w:sz w:val="32"/>
          <w:szCs w:val="32"/>
          <w:highlight w:val="none"/>
        </w:rPr>
        <w:t>,5</w:t>
      </w:r>
      <w:r>
        <w:rPr>
          <w:rFonts w:hint="eastAsia" w:eastAsia="仿宋_GB2312"/>
          <w:snapToGrid w:val="0"/>
          <w:kern w:val="0"/>
          <w:sz w:val="32"/>
          <w:szCs w:val="32"/>
          <w:highlight w:val="none"/>
          <w:lang w:val="en-US" w:eastAsia="zh-CN"/>
        </w:rPr>
        <w:t>09.38</w:t>
      </w:r>
      <w:r>
        <w:rPr>
          <w:rFonts w:hint="eastAsia" w:eastAsia="仿宋_GB2312"/>
          <w:snapToGrid w:val="0"/>
          <w:kern w:val="0"/>
          <w:sz w:val="32"/>
          <w:szCs w:val="32"/>
          <w:highlight w:val="none"/>
        </w:rPr>
        <w:t>万元。202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年决算支出</w:t>
      </w:r>
      <w:r>
        <w:rPr>
          <w:rFonts w:hint="eastAsia" w:eastAsia="仿宋_GB2312"/>
          <w:snapToGrid w:val="0"/>
          <w:kern w:val="0"/>
          <w:sz w:val="32"/>
          <w:szCs w:val="32"/>
          <w:highlight w:val="none"/>
          <w:lang w:val="en-US" w:eastAsia="zh-CN"/>
        </w:rPr>
        <w:t>3</w:t>
      </w:r>
      <w:r>
        <w:rPr>
          <w:rFonts w:hint="eastAsia" w:eastAsia="仿宋_GB2312"/>
          <w:snapToGrid w:val="0"/>
          <w:kern w:val="0"/>
          <w:sz w:val="32"/>
          <w:szCs w:val="32"/>
          <w:highlight w:val="none"/>
        </w:rPr>
        <w:t>,</w:t>
      </w:r>
      <w:r>
        <w:rPr>
          <w:rFonts w:hint="eastAsia" w:eastAsia="仿宋_GB2312"/>
          <w:snapToGrid w:val="0"/>
          <w:kern w:val="0"/>
          <w:sz w:val="32"/>
          <w:szCs w:val="32"/>
          <w:highlight w:val="none"/>
          <w:lang w:val="en-US" w:eastAsia="zh-CN"/>
        </w:rPr>
        <w:t>759.40</w:t>
      </w:r>
      <w:r>
        <w:rPr>
          <w:rFonts w:hint="eastAsia" w:eastAsia="仿宋_GB2312"/>
          <w:snapToGrid w:val="0"/>
          <w:kern w:val="0"/>
          <w:sz w:val="32"/>
          <w:szCs w:val="32"/>
          <w:highlight w:val="none"/>
        </w:rPr>
        <w:t>万元，预算执行率为</w:t>
      </w:r>
      <w:r>
        <w:rPr>
          <w:rFonts w:hint="eastAsia" w:eastAsia="仿宋_GB2312"/>
          <w:snapToGrid w:val="0"/>
          <w:kern w:val="0"/>
          <w:sz w:val="32"/>
          <w:szCs w:val="32"/>
          <w:highlight w:val="none"/>
          <w:lang w:val="en-US" w:eastAsia="zh-CN"/>
        </w:rPr>
        <w:t>80.69</w:t>
      </w:r>
      <w:r>
        <w:rPr>
          <w:rFonts w:eastAsia="仿宋_GB2312"/>
          <w:snapToGrid w:val="0"/>
          <w:kern w:val="0"/>
          <w:sz w:val="32"/>
          <w:szCs w:val="32"/>
          <w:highlight w:val="none"/>
        </w:rPr>
        <w:t>%</w:t>
      </w:r>
      <w:r>
        <w:rPr>
          <w:rFonts w:hint="eastAsia" w:eastAsia="仿宋_GB2312"/>
          <w:snapToGrid w:val="0"/>
          <w:kern w:val="0"/>
          <w:sz w:val="32"/>
          <w:szCs w:val="32"/>
          <w:highlight w:val="none"/>
        </w:rPr>
        <w:t>。</w:t>
      </w:r>
    </w:p>
    <w:p w14:paraId="7A3716CB">
      <w:pPr>
        <w:spacing w:line="592" w:lineRule="exact"/>
        <w:ind w:firstLine="640" w:firstLineChars="200"/>
        <w:rPr>
          <w:rFonts w:eastAsia="仿宋_GB2312"/>
          <w:snapToGrid w:val="0"/>
          <w:kern w:val="0"/>
          <w:sz w:val="32"/>
          <w:szCs w:val="32"/>
          <w:highlight w:val="none"/>
        </w:rPr>
      </w:pPr>
      <w:r>
        <w:rPr>
          <w:rFonts w:hint="eastAsia" w:eastAsia="仿宋_GB2312"/>
          <w:snapToGrid w:val="0"/>
          <w:kern w:val="0"/>
          <w:sz w:val="32"/>
          <w:szCs w:val="32"/>
          <w:highlight w:val="none"/>
        </w:rPr>
        <w:t>2</w:t>
      </w:r>
      <w:r>
        <w:rPr>
          <w:rFonts w:hint="eastAsia" w:eastAsia="仿宋_GB2312"/>
          <w:snapToGrid w:val="0"/>
          <w:kern w:val="0"/>
          <w:sz w:val="32"/>
          <w:szCs w:val="32"/>
          <w:highlight w:val="none"/>
          <w:lang w:eastAsia="zh-CN"/>
        </w:rPr>
        <w:t>.</w:t>
      </w:r>
      <w:r>
        <w:rPr>
          <w:rFonts w:hint="eastAsia" w:eastAsia="仿宋_GB2312"/>
          <w:snapToGrid w:val="0"/>
          <w:kern w:val="0"/>
          <w:sz w:val="32"/>
          <w:szCs w:val="32"/>
          <w:highlight w:val="none"/>
        </w:rPr>
        <w:t>202</w:t>
      </w:r>
      <w:r>
        <w:rPr>
          <w:rFonts w:hint="eastAsia" w:eastAsia="仿宋_GB2312"/>
          <w:snapToGrid w:val="0"/>
          <w:kern w:val="0"/>
          <w:sz w:val="32"/>
          <w:szCs w:val="32"/>
          <w:highlight w:val="none"/>
          <w:lang w:val="en-US" w:eastAsia="zh-CN"/>
        </w:rPr>
        <w:t>5</w:t>
      </w:r>
      <w:r>
        <w:rPr>
          <w:rFonts w:hint="eastAsia" w:eastAsia="仿宋_GB2312"/>
          <w:snapToGrid w:val="0"/>
          <w:kern w:val="0"/>
          <w:sz w:val="32"/>
          <w:szCs w:val="32"/>
          <w:highlight w:val="none"/>
        </w:rPr>
        <w:t>年我厅纳入绩效自评范围的项目支出，按项目明细列示具体情况如下：</w:t>
      </w:r>
    </w:p>
    <w:p w14:paraId="2E726C33">
      <w:pPr>
        <w:spacing w:line="592" w:lineRule="exact"/>
        <w:ind w:left="6820" w:leftChars="200" w:hanging="6400" w:hangingChars="2000"/>
        <w:jc w:val="center"/>
        <w:rPr>
          <w:rFonts w:eastAsia="仿宋_GB2312"/>
          <w:kern w:val="0"/>
          <w:sz w:val="32"/>
          <w:szCs w:val="32"/>
          <w:highlight w:val="none"/>
        </w:rPr>
      </w:pPr>
      <w:r>
        <w:rPr>
          <w:rFonts w:eastAsia="仿宋_GB2312"/>
          <w:kern w:val="0"/>
          <w:sz w:val="32"/>
          <w:szCs w:val="32"/>
          <w:highlight w:val="none"/>
        </w:rPr>
        <w:t>表</w:t>
      </w:r>
      <w:r>
        <w:rPr>
          <w:rFonts w:hint="eastAsia" w:eastAsia="仿宋_GB2312"/>
          <w:kern w:val="0"/>
          <w:sz w:val="32"/>
          <w:szCs w:val="32"/>
          <w:highlight w:val="none"/>
        </w:rPr>
        <w:t>3项目</w:t>
      </w:r>
      <w:r>
        <w:rPr>
          <w:rFonts w:eastAsia="仿宋_GB2312"/>
          <w:kern w:val="0"/>
          <w:sz w:val="32"/>
          <w:szCs w:val="32"/>
          <w:highlight w:val="none"/>
        </w:rPr>
        <w:t>支出明细表</w:t>
      </w:r>
    </w:p>
    <w:p w14:paraId="76AD9D24">
      <w:pPr>
        <w:pStyle w:val="10"/>
        <w:spacing w:line="592" w:lineRule="exact"/>
        <w:ind w:firstLine="5600" w:firstLineChars="2000"/>
        <w:jc w:val="right"/>
        <w:rPr>
          <w:rFonts w:eastAsia="仿宋_GB2312"/>
          <w:kern w:val="0"/>
          <w:sz w:val="32"/>
          <w:szCs w:val="32"/>
          <w:highlight w:val="none"/>
        </w:rPr>
      </w:pPr>
      <w:r>
        <w:rPr>
          <w:rFonts w:eastAsia="仿宋_GB2312"/>
          <w:kern w:val="0"/>
          <w:sz w:val="28"/>
          <w:szCs w:val="28"/>
          <w:highlight w:val="none"/>
        </w:rPr>
        <w:t>单位：万元</w:t>
      </w:r>
    </w:p>
    <w:tbl>
      <w:tblPr>
        <w:tblStyle w:val="17"/>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3346"/>
        <w:gridCol w:w="891"/>
        <w:gridCol w:w="909"/>
        <w:gridCol w:w="837"/>
        <w:gridCol w:w="1063"/>
        <w:gridCol w:w="980"/>
      </w:tblGrid>
      <w:tr w14:paraId="775F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tblHeader/>
        </w:trPr>
        <w:tc>
          <w:tcPr>
            <w:tcW w:w="247" w:type="pct"/>
            <w:tcBorders>
              <w:top w:val="single" w:color="auto" w:sz="12" w:space="0"/>
              <w:left w:val="nil"/>
              <w:bottom w:val="single" w:color="auto" w:sz="4" w:space="0"/>
            </w:tcBorders>
            <w:shd w:val="clear" w:color="auto" w:fill="auto"/>
            <w:noWrap/>
            <w:vAlign w:val="center"/>
          </w:tcPr>
          <w:p w14:paraId="6889A8BC">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序号</w:t>
            </w:r>
          </w:p>
        </w:tc>
        <w:tc>
          <w:tcPr>
            <w:tcW w:w="1981" w:type="pct"/>
            <w:tcBorders>
              <w:top w:val="single" w:color="auto" w:sz="12" w:space="0"/>
            </w:tcBorders>
            <w:shd w:val="clear" w:color="auto" w:fill="auto"/>
            <w:vAlign w:val="center"/>
          </w:tcPr>
          <w:p w14:paraId="041B1F00">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项目明细</w:t>
            </w:r>
          </w:p>
        </w:tc>
        <w:tc>
          <w:tcPr>
            <w:tcW w:w="527" w:type="pct"/>
            <w:tcBorders>
              <w:top w:val="single" w:color="auto" w:sz="12" w:space="0"/>
            </w:tcBorders>
            <w:shd w:val="clear" w:color="auto" w:fill="auto"/>
            <w:noWrap/>
            <w:vAlign w:val="center"/>
          </w:tcPr>
          <w:p w14:paraId="7C942EFA">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上年</w:t>
            </w:r>
          </w:p>
          <w:p w14:paraId="1F80E94A">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结转</w:t>
            </w:r>
          </w:p>
        </w:tc>
        <w:tc>
          <w:tcPr>
            <w:tcW w:w="538" w:type="pct"/>
            <w:tcBorders>
              <w:top w:val="single" w:color="auto" w:sz="12" w:space="0"/>
            </w:tcBorders>
            <w:shd w:val="clear" w:color="auto" w:fill="auto"/>
            <w:noWrap/>
            <w:vAlign w:val="center"/>
          </w:tcPr>
          <w:p w14:paraId="4DC0C9B9">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年初</w:t>
            </w:r>
          </w:p>
          <w:p w14:paraId="2F828EC1">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预算</w:t>
            </w:r>
          </w:p>
        </w:tc>
        <w:tc>
          <w:tcPr>
            <w:tcW w:w="495" w:type="pct"/>
            <w:tcBorders>
              <w:top w:val="single" w:color="auto" w:sz="12" w:space="0"/>
            </w:tcBorders>
            <w:shd w:val="clear" w:color="auto" w:fill="auto"/>
            <w:noWrap/>
            <w:vAlign w:val="center"/>
          </w:tcPr>
          <w:p w14:paraId="0DD4A21E">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本年</w:t>
            </w:r>
          </w:p>
          <w:p w14:paraId="3EAB57E8">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调整</w:t>
            </w:r>
          </w:p>
        </w:tc>
        <w:tc>
          <w:tcPr>
            <w:tcW w:w="629" w:type="pct"/>
            <w:tcBorders>
              <w:top w:val="single" w:color="auto" w:sz="12" w:space="0"/>
            </w:tcBorders>
            <w:shd w:val="clear" w:color="auto" w:fill="auto"/>
            <w:vAlign w:val="center"/>
          </w:tcPr>
          <w:p w14:paraId="028CE265">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预算</w:t>
            </w:r>
          </w:p>
          <w:p w14:paraId="4E58384C">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资金</w:t>
            </w:r>
          </w:p>
        </w:tc>
        <w:tc>
          <w:tcPr>
            <w:tcW w:w="580" w:type="pct"/>
            <w:tcBorders>
              <w:top w:val="single" w:color="auto" w:sz="12" w:space="0"/>
              <w:right w:val="nil"/>
            </w:tcBorders>
            <w:shd w:val="clear" w:color="auto" w:fill="auto"/>
            <w:noWrap/>
            <w:vAlign w:val="center"/>
          </w:tcPr>
          <w:p w14:paraId="1D7E8F96">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决算</w:t>
            </w:r>
          </w:p>
          <w:p w14:paraId="29748D5C">
            <w:pPr>
              <w:widowControl/>
              <w:jc w:val="center"/>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支出</w:t>
            </w:r>
          </w:p>
        </w:tc>
      </w:tr>
      <w:tr w14:paraId="1C53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trPr>
        <w:tc>
          <w:tcPr>
            <w:tcW w:w="247" w:type="pct"/>
            <w:tcBorders>
              <w:left w:val="nil"/>
            </w:tcBorders>
            <w:shd w:val="clear" w:color="auto" w:fill="auto"/>
            <w:noWrap/>
            <w:vAlign w:val="center"/>
          </w:tcPr>
          <w:p w14:paraId="2ECC1EFA">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w:t>
            </w:r>
          </w:p>
        </w:tc>
        <w:tc>
          <w:tcPr>
            <w:tcW w:w="1981" w:type="pct"/>
            <w:shd w:val="clear" w:color="auto" w:fill="auto"/>
            <w:vAlign w:val="center"/>
          </w:tcPr>
          <w:p w14:paraId="67CD2905">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12333电话咨询服务系统国产化适配2024年度运维服务经费(2024结转)</w:t>
            </w:r>
          </w:p>
        </w:tc>
        <w:tc>
          <w:tcPr>
            <w:tcW w:w="527" w:type="pct"/>
            <w:shd w:val="clear" w:color="auto" w:fill="auto"/>
            <w:noWrap/>
            <w:vAlign w:val="center"/>
          </w:tcPr>
          <w:p w14:paraId="44AB9A9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44.09 </w:t>
            </w:r>
          </w:p>
        </w:tc>
        <w:tc>
          <w:tcPr>
            <w:tcW w:w="538" w:type="pct"/>
            <w:shd w:val="clear" w:color="auto" w:fill="auto"/>
            <w:noWrap/>
            <w:vAlign w:val="center"/>
          </w:tcPr>
          <w:p w14:paraId="0656F478">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50ED4FFF">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B22D08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44.09 </w:t>
            </w:r>
          </w:p>
        </w:tc>
        <w:tc>
          <w:tcPr>
            <w:tcW w:w="580" w:type="pct"/>
            <w:tcBorders>
              <w:right w:val="nil"/>
            </w:tcBorders>
            <w:shd w:val="clear" w:color="auto" w:fill="auto"/>
            <w:noWrap/>
            <w:vAlign w:val="center"/>
          </w:tcPr>
          <w:p w14:paraId="41A61A7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44.09 </w:t>
            </w:r>
          </w:p>
        </w:tc>
      </w:tr>
      <w:tr w14:paraId="7D4C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trPr>
        <w:tc>
          <w:tcPr>
            <w:tcW w:w="247" w:type="pct"/>
            <w:tcBorders>
              <w:left w:val="nil"/>
            </w:tcBorders>
            <w:shd w:val="clear" w:color="auto" w:fill="auto"/>
            <w:noWrap/>
            <w:vAlign w:val="center"/>
          </w:tcPr>
          <w:p w14:paraId="39FEE044">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w:t>
            </w:r>
          </w:p>
        </w:tc>
        <w:tc>
          <w:tcPr>
            <w:tcW w:w="1981" w:type="pct"/>
            <w:shd w:val="clear" w:color="auto" w:fill="auto"/>
            <w:vAlign w:val="center"/>
          </w:tcPr>
          <w:p w14:paraId="01EE5D82">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2024年第一批教育综合发展专项资金(2024结转)</w:t>
            </w:r>
          </w:p>
        </w:tc>
        <w:tc>
          <w:tcPr>
            <w:tcW w:w="527" w:type="pct"/>
            <w:shd w:val="clear" w:color="auto" w:fill="auto"/>
            <w:noWrap/>
            <w:vAlign w:val="center"/>
          </w:tcPr>
          <w:p w14:paraId="3085FEAC">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1F87DA0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 </w:t>
            </w:r>
          </w:p>
        </w:tc>
        <w:tc>
          <w:tcPr>
            <w:tcW w:w="495" w:type="pct"/>
            <w:shd w:val="clear" w:color="auto" w:fill="auto"/>
            <w:noWrap/>
            <w:vAlign w:val="center"/>
          </w:tcPr>
          <w:p w14:paraId="39C47C0A">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41D74D4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 </w:t>
            </w:r>
          </w:p>
        </w:tc>
        <w:tc>
          <w:tcPr>
            <w:tcW w:w="580" w:type="pct"/>
            <w:tcBorders>
              <w:right w:val="nil"/>
            </w:tcBorders>
            <w:shd w:val="clear" w:color="auto" w:fill="auto"/>
            <w:noWrap/>
            <w:vAlign w:val="center"/>
          </w:tcPr>
          <w:p w14:paraId="7BBC2E6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 </w:t>
            </w:r>
          </w:p>
        </w:tc>
      </w:tr>
      <w:tr w14:paraId="3AD2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C1A8DA0">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w:t>
            </w:r>
          </w:p>
        </w:tc>
        <w:tc>
          <w:tcPr>
            <w:tcW w:w="1981" w:type="pct"/>
            <w:shd w:val="clear" w:color="auto" w:fill="auto"/>
            <w:vAlign w:val="center"/>
          </w:tcPr>
          <w:p w14:paraId="71B7D91C">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2024年度征兵经费(2024结转)</w:t>
            </w:r>
          </w:p>
        </w:tc>
        <w:tc>
          <w:tcPr>
            <w:tcW w:w="527" w:type="pct"/>
            <w:shd w:val="clear" w:color="auto" w:fill="auto"/>
            <w:noWrap/>
            <w:vAlign w:val="center"/>
          </w:tcPr>
          <w:p w14:paraId="35110AE6">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69DBD99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20.00 </w:t>
            </w:r>
          </w:p>
        </w:tc>
        <w:tc>
          <w:tcPr>
            <w:tcW w:w="495" w:type="pct"/>
            <w:shd w:val="clear" w:color="auto" w:fill="auto"/>
            <w:noWrap/>
            <w:vAlign w:val="center"/>
          </w:tcPr>
          <w:p w14:paraId="323867DA">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8F4EDC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20.00 </w:t>
            </w:r>
          </w:p>
        </w:tc>
        <w:tc>
          <w:tcPr>
            <w:tcW w:w="580" w:type="pct"/>
            <w:tcBorders>
              <w:right w:val="nil"/>
            </w:tcBorders>
            <w:shd w:val="clear" w:color="auto" w:fill="auto"/>
            <w:noWrap/>
            <w:vAlign w:val="center"/>
          </w:tcPr>
          <w:p w14:paraId="27531ED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19.00 </w:t>
            </w:r>
          </w:p>
        </w:tc>
      </w:tr>
      <w:tr w14:paraId="1892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2EF68DB2">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4</w:t>
            </w:r>
          </w:p>
        </w:tc>
        <w:tc>
          <w:tcPr>
            <w:tcW w:w="1981" w:type="pct"/>
            <w:shd w:val="clear" w:color="auto" w:fill="auto"/>
            <w:vAlign w:val="center"/>
          </w:tcPr>
          <w:p w14:paraId="43A6A7FA">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2024年结转省补助就业创业比赛</w:t>
            </w:r>
          </w:p>
        </w:tc>
        <w:tc>
          <w:tcPr>
            <w:tcW w:w="527" w:type="pct"/>
            <w:shd w:val="clear" w:color="auto" w:fill="auto"/>
            <w:noWrap/>
            <w:vAlign w:val="center"/>
          </w:tcPr>
          <w:p w14:paraId="6B86F22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28.78 </w:t>
            </w:r>
          </w:p>
        </w:tc>
        <w:tc>
          <w:tcPr>
            <w:tcW w:w="538" w:type="pct"/>
            <w:shd w:val="clear" w:color="auto" w:fill="auto"/>
            <w:noWrap/>
            <w:vAlign w:val="center"/>
          </w:tcPr>
          <w:p w14:paraId="3304447E">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45C46187">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19DE440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28.78 </w:t>
            </w:r>
          </w:p>
        </w:tc>
        <w:tc>
          <w:tcPr>
            <w:tcW w:w="580" w:type="pct"/>
            <w:tcBorders>
              <w:right w:val="nil"/>
            </w:tcBorders>
            <w:shd w:val="clear" w:color="auto" w:fill="auto"/>
            <w:noWrap/>
            <w:vAlign w:val="center"/>
          </w:tcPr>
          <w:p w14:paraId="7EE454B2">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26.72 </w:t>
            </w:r>
          </w:p>
        </w:tc>
      </w:tr>
      <w:tr w14:paraId="58A6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247" w:type="pct"/>
            <w:tcBorders>
              <w:left w:val="nil"/>
            </w:tcBorders>
            <w:shd w:val="clear" w:color="auto" w:fill="auto"/>
            <w:noWrap/>
            <w:vAlign w:val="center"/>
          </w:tcPr>
          <w:p w14:paraId="3A9D6F81">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5</w:t>
            </w:r>
          </w:p>
        </w:tc>
        <w:tc>
          <w:tcPr>
            <w:tcW w:w="1981" w:type="pct"/>
            <w:shd w:val="clear" w:color="auto" w:fill="auto"/>
            <w:vAlign w:val="center"/>
          </w:tcPr>
          <w:p w14:paraId="44CB72F1">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2024年全国劳务品牌发展大会(2024结转)</w:t>
            </w:r>
          </w:p>
        </w:tc>
        <w:tc>
          <w:tcPr>
            <w:tcW w:w="527" w:type="pct"/>
            <w:shd w:val="clear" w:color="auto" w:fill="auto"/>
            <w:noWrap/>
            <w:vAlign w:val="center"/>
          </w:tcPr>
          <w:p w14:paraId="4C05618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10.04 </w:t>
            </w:r>
          </w:p>
        </w:tc>
        <w:tc>
          <w:tcPr>
            <w:tcW w:w="538" w:type="pct"/>
            <w:shd w:val="clear" w:color="auto" w:fill="auto"/>
            <w:noWrap/>
            <w:vAlign w:val="center"/>
          </w:tcPr>
          <w:p w14:paraId="057BCABF">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791DAC2B">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0262E2F7">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10.04 </w:t>
            </w:r>
          </w:p>
        </w:tc>
        <w:tc>
          <w:tcPr>
            <w:tcW w:w="580" w:type="pct"/>
            <w:tcBorders>
              <w:right w:val="nil"/>
            </w:tcBorders>
            <w:shd w:val="clear" w:color="auto" w:fill="auto"/>
            <w:noWrap/>
            <w:vAlign w:val="center"/>
          </w:tcPr>
          <w:p w14:paraId="26A9BC3A">
            <w:pPr>
              <w:rPr>
                <w:rFonts w:hint="default" w:ascii="Times New Roman" w:hAnsi="Times New Roman" w:eastAsia="仿宋_GB2312" w:cs="Times New Roman"/>
                <w:kern w:val="0"/>
                <w:sz w:val="11"/>
                <w:szCs w:val="11"/>
                <w:highlight w:val="none"/>
              </w:rPr>
            </w:pPr>
          </w:p>
        </w:tc>
      </w:tr>
      <w:tr w14:paraId="60AC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247" w:type="pct"/>
            <w:tcBorders>
              <w:left w:val="nil"/>
            </w:tcBorders>
            <w:shd w:val="clear" w:color="auto" w:fill="auto"/>
            <w:noWrap/>
            <w:vAlign w:val="center"/>
          </w:tcPr>
          <w:p w14:paraId="1325361C">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6</w:t>
            </w:r>
          </w:p>
        </w:tc>
        <w:tc>
          <w:tcPr>
            <w:tcW w:w="1981" w:type="pct"/>
            <w:shd w:val="clear" w:color="auto" w:fill="auto"/>
            <w:vAlign w:val="center"/>
          </w:tcPr>
          <w:p w14:paraId="15997929">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2025建国初期参加革命工作部分退休干部生活补贴</w:t>
            </w:r>
          </w:p>
        </w:tc>
        <w:tc>
          <w:tcPr>
            <w:tcW w:w="527" w:type="pct"/>
            <w:shd w:val="clear" w:color="auto" w:fill="auto"/>
            <w:noWrap/>
            <w:vAlign w:val="center"/>
          </w:tcPr>
          <w:p w14:paraId="3BC9DB15">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9E68F8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 </w:t>
            </w:r>
          </w:p>
        </w:tc>
        <w:tc>
          <w:tcPr>
            <w:tcW w:w="495" w:type="pct"/>
            <w:shd w:val="clear" w:color="auto" w:fill="auto"/>
            <w:noWrap/>
            <w:vAlign w:val="center"/>
          </w:tcPr>
          <w:p w14:paraId="2D1CA175">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E6ACB9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 </w:t>
            </w:r>
          </w:p>
        </w:tc>
        <w:tc>
          <w:tcPr>
            <w:tcW w:w="580" w:type="pct"/>
            <w:tcBorders>
              <w:right w:val="nil"/>
            </w:tcBorders>
            <w:shd w:val="clear" w:color="auto" w:fill="auto"/>
            <w:noWrap/>
            <w:vAlign w:val="center"/>
          </w:tcPr>
          <w:p w14:paraId="221026C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 </w:t>
            </w:r>
          </w:p>
        </w:tc>
      </w:tr>
      <w:tr w14:paraId="7FC5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247" w:type="pct"/>
            <w:tcBorders>
              <w:left w:val="nil"/>
            </w:tcBorders>
            <w:shd w:val="clear" w:color="auto" w:fill="auto"/>
            <w:noWrap/>
            <w:vAlign w:val="center"/>
          </w:tcPr>
          <w:p w14:paraId="5B95A2CA">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7</w:t>
            </w:r>
          </w:p>
        </w:tc>
        <w:tc>
          <w:tcPr>
            <w:tcW w:w="1981" w:type="pct"/>
            <w:shd w:val="clear" w:color="auto" w:fill="auto"/>
            <w:vAlign w:val="center"/>
          </w:tcPr>
          <w:p w14:paraId="1692F421">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2025建国初期参加革命工作部分退休干部医疗补贴</w:t>
            </w:r>
          </w:p>
        </w:tc>
        <w:tc>
          <w:tcPr>
            <w:tcW w:w="527" w:type="pct"/>
            <w:shd w:val="clear" w:color="auto" w:fill="auto"/>
            <w:noWrap/>
            <w:vAlign w:val="center"/>
          </w:tcPr>
          <w:p w14:paraId="1EAC5A2D">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550C2F1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2.40 </w:t>
            </w:r>
          </w:p>
        </w:tc>
        <w:tc>
          <w:tcPr>
            <w:tcW w:w="495" w:type="pct"/>
            <w:shd w:val="clear" w:color="auto" w:fill="auto"/>
            <w:noWrap/>
            <w:vAlign w:val="center"/>
          </w:tcPr>
          <w:p w14:paraId="4F7653ED">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097E802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2.40 </w:t>
            </w:r>
          </w:p>
        </w:tc>
        <w:tc>
          <w:tcPr>
            <w:tcW w:w="580" w:type="pct"/>
            <w:tcBorders>
              <w:right w:val="nil"/>
            </w:tcBorders>
            <w:shd w:val="clear" w:color="auto" w:fill="auto"/>
            <w:noWrap/>
            <w:vAlign w:val="center"/>
          </w:tcPr>
          <w:p w14:paraId="5506C52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2.40 </w:t>
            </w:r>
          </w:p>
        </w:tc>
      </w:tr>
      <w:tr w14:paraId="0B61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5C3D474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8</w:t>
            </w:r>
          </w:p>
        </w:tc>
        <w:tc>
          <w:tcPr>
            <w:tcW w:w="1981" w:type="pct"/>
            <w:shd w:val="clear" w:color="auto" w:fill="auto"/>
            <w:vAlign w:val="center"/>
          </w:tcPr>
          <w:p w14:paraId="35E58F05">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2025年城乡居保宣传经费</w:t>
            </w:r>
          </w:p>
        </w:tc>
        <w:tc>
          <w:tcPr>
            <w:tcW w:w="527" w:type="pct"/>
            <w:shd w:val="clear" w:color="auto" w:fill="auto"/>
            <w:noWrap/>
            <w:vAlign w:val="center"/>
          </w:tcPr>
          <w:p w14:paraId="42AC8D2E">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70B0F9CC">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506BEA0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36.00 </w:t>
            </w:r>
          </w:p>
        </w:tc>
        <w:tc>
          <w:tcPr>
            <w:tcW w:w="629" w:type="pct"/>
            <w:shd w:val="clear" w:color="auto" w:fill="auto"/>
            <w:noWrap/>
            <w:vAlign w:val="center"/>
          </w:tcPr>
          <w:p w14:paraId="56FD6C4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36.00 </w:t>
            </w:r>
          </w:p>
        </w:tc>
        <w:tc>
          <w:tcPr>
            <w:tcW w:w="580" w:type="pct"/>
            <w:tcBorders>
              <w:right w:val="nil"/>
            </w:tcBorders>
            <w:shd w:val="clear" w:color="auto" w:fill="auto"/>
            <w:noWrap/>
            <w:vAlign w:val="center"/>
          </w:tcPr>
          <w:p w14:paraId="53309F7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36.00 </w:t>
            </w:r>
          </w:p>
        </w:tc>
      </w:tr>
      <w:tr w14:paraId="026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31CE85BC">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9</w:t>
            </w:r>
          </w:p>
        </w:tc>
        <w:tc>
          <w:tcPr>
            <w:tcW w:w="1981" w:type="pct"/>
            <w:shd w:val="clear" w:color="auto" w:fill="auto"/>
            <w:vAlign w:val="center"/>
          </w:tcPr>
          <w:p w14:paraId="5AED49A6">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2025年社保基金预算会审</w:t>
            </w:r>
          </w:p>
        </w:tc>
        <w:tc>
          <w:tcPr>
            <w:tcW w:w="527" w:type="pct"/>
            <w:shd w:val="clear" w:color="auto" w:fill="auto"/>
            <w:noWrap/>
            <w:vAlign w:val="center"/>
          </w:tcPr>
          <w:p w14:paraId="5C2F42AA">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1C1D5A0A">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2D13E2C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 </w:t>
            </w:r>
          </w:p>
        </w:tc>
        <w:tc>
          <w:tcPr>
            <w:tcW w:w="629" w:type="pct"/>
            <w:shd w:val="clear" w:color="auto" w:fill="auto"/>
            <w:noWrap/>
            <w:vAlign w:val="center"/>
          </w:tcPr>
          <w:p w14:paraId="6EF018D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 </w:t>
            </w:r>
          </w:p>
        </w:tc>
        <w:tc>
          <w:tcPr>
            <w:tcW w:w="580" w:type="pct"/>
            <w:tcBorders>
              <w:right w:val="nil"/>
            </w:tcBorders>
            <w:shd w:val="clear" w:color="auto" w:fill="auto"/>
            <w:noWrap/>
            <w:vAlign w:val="center"/>
          </w:tcPr>
          <w:p w14:paraId="0BF6494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 </w:t>
            </w:r>
          </w:p>
        </w:tc>
      </w:tr>
      <w:tr w14:paraId="7909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2CC49DB">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10</w:t>
            </w:r>
          </w:p>
        </w:tc>
        <w:tc>
          <w:tcPr>
            <w:tcW w:w="1981" w:type="pct"/>
            <w:shd w:val="clear" w:color="auto" w:fill="auto"/>
            <w:vAlign w:val="center"/>
          </w:tcPr>
          <w:p w14:paraId="223A599D">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办公设备购置</w:t>
            </w:r>
          </w:p>
        </w:tc>
        <w:tc>
          <w:tcPr>
            <w:tcW w:w="527" w:type="pct"/>
            <w:shd w:val="clear" w:color="auto" w:fill="auto"/>
            <w:noWrap/>
            <w:vAlign w:val="center"/>
          </w:tcPr>
          <w:p w14:paraId="338C9A9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 </w:t>
            </w:r>
          </w:p>
        </w:tc>
        <w:tc>
          <w:tcPr>
            <w:tcW w:w="538" w:type="pct"/>
            <w:shd w:val="clear" w:color="auto" w:fill="auto"/>
            <w:noWrap/>
            <w:vAlign w:val="center"/>
          </w:tcPr>
          <w:p w14:paraId="3413D31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0.02 </w:t>
            </w:r>
          </w:p>
        </w:tc>
        <w:tc>
          <w:tcPr>
            <w:tcW w:w="495" w:type="pct"/>
            <w:shd w:val="clear" w:color="auto" w:fill="auto"/>
            <w:noWrap/>
            <w:vAlign w:val="center"/>
          </w:tcPr>
          <w:p w14:paraId="7797298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12.86 </w:t>
            </w:r>
          </w:p>
        </w:tc>
        <w:tc>
          <w:tcPr>
            <w:tcW w:w="629" w:type="pct"/>
            <w:shd w:val="clear" w:color="auto" w:fill="auto"/>
            <w:noWrap/>
            <w:vAlign w:val="center"/>
          </w:tcPr>
          <w:p w14:paraId="7D21BF2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14.88 </w:t>
            </w:r>
          </w:p>
        </w:tc>
        <w:tc>
          <w:tcPr>
            <w:tcW w:w="580" w:type="pct"/>
            <w:tcBorders>
              <w:right w:val="nil"/>
            </w:tcBorders>
            <w:shd w:val="clear" w:color="auto" w:fill="auto"/>
            <w:noWrap/>
            <w:vAlign w:val="center"/>
          </w:tcPr>
          <w:p w14:paraId="12AFB04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11.68 </w:t>
            </w:r>
          </w:p>
        </w:tc>
      </w:tr>
      <w:tr w14:paraId="2630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43872C6">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11</w:t>
            </w:r>
          </w:p>
        </w:tc>
        <w:tc>
          <w:tcPr>
            <w:tcW w:w="1981" w:type="pct"/>
            <w:shd w:val="clear" w:color="auto" w:fill="auto"/>
            <w:vAlign w:val="center"/>
          </w:tcPr>
          <w:p w14:paraId="0497C2D1">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大院运维专项经费</w:t>
            </w:r>
          </w:p>
        </w:tc>
        <w:tc>
          <w:tcPr>
            <w:tcW w:w="527" w:type="pct"/>
            <w:shd w:val="clear" w:color="auto" w:fill="auto"/>
            <w:noWrap/>
            <w:vAlign w:val="center"/>
          </w:tcPr>
          <w:p w14:paraId="4D1977D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10.03 </w:t>
            </w:r>
          </w:p>
        </w:tc>
        <w:tc>
          <w:tcPr>
            <w:tcW w:w="538" w:type="pct"/>
            <w:shd w:val="clear" w:color="auto" w:fill="auto"/>
            <w:noWrap/>
            <w:vAlign w:val="center"/>
          </w:tcPr>
          <w:p w14:paraId="65171126">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40F9D8C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116.00 </w:t>
            </w:r>
          </w:p>
        </w:tc>
        <w:tc>
          <w:tcPr>
            <w:tcW w:w="629" w:type="pct"/>
            <w:shd w:val="clear" w:color="auto" w:fill="auto"/>
            <w:noWrap/>
            <w:vAlign w:val="center"/>
          </w:tcPr>
          <w:p w14:paraId="4BFE8C22">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126.03 </w:t>
            </w:r>
          </w:p>
        </w:tc>
        <w:tc>
          <w:tcPr>
            <w:tcW w:w="580" w:type="pct"/>
            <w:tcBorders>
              <w:right w:val="nil"/>
            </w:tcBorders>
            <w:shd w:val="clear" w:color="auto" w:fill="auto"/>
            <w:noWrap/>
            <w:vAlign w:val="center"/>
          </w:tcPr>
          <w:p w14:paraId="7F52CA8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118.54 </w:t>
            </w:r>
          </w:p>
        </w:tc>
      </w:tr>
      <w:tr w14:paraId="5BD2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trPr>
        <w:tc>
          <w:tcPr>
            <w:tcW w:w="247" w:type="pct"/>
            <w:tcBorders>
              <w:left w:val="nil"/>
            </w:tcBorders>
            <w:shd w:val="clear" w:color="auto" w:fill="auto"/>
            <w:noWrap/>
            <w:vAlign w:val="center"/>
          </w:tcPr>
          <w:p w14:paraId="202759C8">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12</w:t>
            </w:r>
          </w:p>
        </w:tc>
        <w:tc>
          <w:tcPr>
            <w:tcW w:w="1981" w:type="pct"/>
            <w:shd w:val="clear" w:color="auto" w:fill="auto"/>
            <w:vAlign w:val="center"/>
          </w:tcPr>
          <w:p w14:paraId="20AC107F">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高校毕业生“三支一扶”计划补助资金</w:t>
            </w:r>
          </w:p>
        </w:tc>
        <w:tc>
          <w:tcPr>
            <w:tcW w:w="527" w:type="pct"/>
            <w:shd w:val="clear" w:color="auto" w:fill="auto"/>
            <w:noWrap/>
            <w:vAlign w:val="center"/>
          </w:tcPr>
          <w:p w14:paraId="04018C8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0.51 </w:t>
            </w:r>
          </w:p>
        </w:tc>
        <w:tc>
          <w:tcPr>
            <w:tcW w:w="538" w:type="pct"/>
            <w:shd w:val="clear" w:color="auto" w:fill="auto"/>
            <w:noWrap/>
            <w:vAlign w:val="center"/>
          </w:tcPr>
          <w:p w14:paraId="4A78562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21.70 </w:t>
            </w:r>
          </w:p>
        </w:tc>
        <w:tc>
          <w:tcPr>
            <w:tcW w:w="495" w:type="pct"/>
            <w:shd w:val="clear" w:color="auto" w:fill="auto"/>
            <w:noWrap/>
            <w:vAlign w:val="center"/>
          </w:tcPr>
          <w:p w14:paraId="058E0AD6">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542601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22.21 </w:t>
            </w:r>
          </w:p>
        </w:tc>
        <w:tc>
          <w:tcPr>
            <w:tcW w:w="580" w:type="pct"/>
            <w:tcBorders>
              <w:right w:val="nil"/>
            </w:tcBorders>
            <w:shd w:val="clear" w:color="auto" w:fill="auto"/>
            <w:noWrap/>
            <w:vAlign w:val="center"/>
          </w:tcPr>
          <w:p w14:paraId="4E6D8D4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0.51 </w:t>
            </w:r>
          </w:p>
        </w:tc>
      </w:tr>
      <w:tr w14:paraId="08AA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3AF33C6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13</w:t>
            </w:r>
          </w:p>
        </w:tc>
        <w:tc>
          <w:tcPr>
            <w:tcW w:w="1981" w:type="pct"/>
            <w:shd w:val="clear" w:color="auto" w:fill="auto"/>
            <w:vAlign w:val="center"/>
          </w:tcPr>
          <w:p w14:paraId="20622F5D">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工伤保险全省统筹业务培训费(2024结转)</w:t>
            </w:r>
          </w:p>
        </w:tc>
        <w:tc>
          <w:tcPr>
            <w:tcW w:w="527" w:type="pct"/>
            <w:shd w:val="clear" w:color="auto" w:fill="auto"/>
            <w:noWrap/>
            <w:vAlign w:val="center"/>
          </w:tcPr>
          <w:p w14:paraId="71BFCFBC">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66914E0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0.02 </w:t>
            </w:r>
          </w:p>
        </w:tc>
        <w:tc>
          <w:tcPr>
            <w:tcW w:w="495" w:type="pct"/>
            <w:shd w:val="clear" w:color="auto" w:fill="auto"/>
            <w:noWrap/>
            <w:vAlign w:val="center"/>
          </w:tcPr>
          <w:p w14:paraId="6F6BC174">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13E9679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0.02 </w:t>
            </w:r>
          </w:p>
        </w:tc>
        <w:tc>
          <w:tcPr>
            <w:tcW w:w="580" w:type="pct"/>
            <w:tcBorders>
              <w:right w:val="nil"/>
            </w:tcBorders>
            <w:shd w:val="clear" w:color="auto" w:fill="auto"/>
            <w:noWrap/>
            <w:vAlign w:val="center"/>
          </w:tcPr>
          <w:p w14:paraId="7C37EDC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0.02 </w:t>
            </w:r>
          </w:p>
        </w:tc>
      </w:tr>
      <w:tr w14:paraId="78F9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1CEFBFA">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14</w:t>
            </w:r>
          </w:p>
        </w:tc>
        <w:tc>
          <w:tcPr>
            <w:tcW w:w="1981" w:type="pct"/>
            <w:shd w:val="clear" w:color="auto" w:fill="auto"/>
            <w:vAlign w:val="center"/>
          </w:tcPr>
          <w:p w14:paraId="7CA55DB7">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公务用车购置</w:t>
            </w:r>
          </w:p>
        </w:tc>
        <w:tc>
          <w:tcPr>
            <w:tcW w:w="527" w:type="pct"/>
            <w:shd w:val="clear" w:color="auto" w:fill="auto"/>
            <w:noWrap/>
            <w:vAlign w:val="center"/>
          </w:tcPr>
          <w:p w14:paraId="6F0922A7">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C83441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30.00 </w:t>
            </w:r>
          </w:p>
        </w:tc>
        <w:tc>
          <w:tcPr>
            <w:tcW w:w="495" w:type="pct"/>
            <w:shd w:val="clear" w:color="auto" w:fill="auto"/>
            <w:noWrap/>
            <w:vAlign w:val="center"/>
          </w:tcPr>
          <w:p w14:paraId="62D84E6B">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1F4548D2">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30.00 </w:t>
            </w:r>
          </w:p>
        </w:tc>
        <w:tc>
          <w:tcPr>
            <w:tcW w:w="580" w:type="pct"/>
            <w:tcBorders>
              <w:right w:val="nil"/>
            </w:tcBorders>
            <w:shd w:val="clear" w:color="auto" w:fill="auto"/>
            <w:noWrap/>
            <w:vAlign w:val="center"/>
          </w:tcPr>
          <w:p w14:paraId="400773F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24.99 </w:t>
            </w:r>
          </w:p>
        </w:tc>
      </w:tr>
      <w:tr w14:paraId="1220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11EEE2C1">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15</w:t>
            </w:r>
          </w:p>
        </w:tc>
        <w:tc>
          <w:tcPr>
            <w:tcW w:w="1981" w:type="pct"/>
            <w:shd w:val="clear" w:color="auto" w:fill="auto"/>
            <w:vAlign w:val="center"/>
          </w:tcPr>
          <w:p w14:paraId="147DB5B2">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固定资产采购(2024结转)</w:t>
            </w:r>
          </w:p>
        </w:tc>
        <w:tc>
          <w:tcPr>
            <w:tcW w:w="527" w:type="pct"/>
            <w:shd w:val="clear" w:color="auto" w:fill="auto"/>
            <w:noWrap/>
            <w:vAlign w:val="center"/>
          </w:tcPr>
          <w:p w14:paraId="35B02E41">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2EB3D1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0.47 </w:t>
            </w:r>
          </w:p>
        </w:tc>
        <w:tc>
          <w:tcPr>
            <w:tcW w:w="495" w:type="pct"/>
            <w:shd w:val="clear" w:color="auto" w:fill="auto"/>
            <w:noWrap/>
            <w:vAlign w:val="center"/>
          </w:tcPr>
          <w:p w14:paraId="55948901">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E58D4C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0.47 </w:t>
            </w:r>
          </w:p>
        </w:tc>
        <w:tc>
          <w:tcPr>
            <w:tcW w:w="580" w:type="pct"/>
            <w:tcBorders>
              <w:right w:val="nil"/>
            </w:tcBorders>
            <w:shd w:val="clear" w:color="auto" w:fill="auto"/>
            <w:noWrap/>
            <w:vAlign w:val="center"/>
          </w:tcPr>
          <w:p w14:paraId="70E812A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0.47 </w:t>
            </w:r>
          </w:p>
        </w:tc>
      </w:tr>
      <w:tr w14:paraId="19E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247" w:type="pct"/>
            <w:tcBorders>
              <w:left w:val="nil"/>
            </w:tcBorders>
            <w:shd w:val="clear" w:color="auto" w:fill="auto"/>
            <w:noWrap/>
            <w:vAlign w:val="center"/>
          </w:tcPr>
          <w:p w14:paraId="0FD6DFD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16</w:t>
            </w:r>
          </w:p>
        </w:tc>
        <w:tc>
          <w:tcPr>
            <w:tcW w:w="1981" w:type="pct"/>
            <w:shd w:val="clear" w:color="auto" w:fill="auto"/>
            <w:vAlign w:val="center"/>
          </w:tcPr>
          <w:p w14:paraId="415716C6">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关于下达2024年省补助构建和谐劳动关系等项目经费的通知(2024结转)</w:t>
            </w:r>
          </w:p>
        </w:tc>
        <w:tc>
          <w:tcPr>
            <w:tcW w:w="527" w:type="pct"/>
            <w:shd w:val="clear" w:color="auto" w:fill="auto"/>
            <w:noWrap/>
            <w:vAlign w:val="center"/>
          </w:tcPr>
          <w:p w14:paraId="45117C9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70.00 </w:t>
            </w:r>
          </w:p>
        </w:tc>
        <w:tc>
          <w:tcPr>
            <w:tcW w:w="538" w:type="pct"/>
            <w:shd w:val="clear" w:color="auto" w:fill="auto"/>
            <w:noWrap/>
            <w:vAlign w:val="center"/>
          </w:tcPr>
          <w:p w14:paraId="4AE4FAA7">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4D70BE0C">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7937A2F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70.00 </w:t>
            </w:r>
          </w:p>
        </w:tc>
        <w:tc>
          <w:tcPr>
            <w:tcW w:w="580" w:type="pct"/>
            <w:tcBorders>
              <w:right w:val="nil"/>
            </w:tcBorders>
            <w:shd w:val="clear" w:color="auto" w:fill="auto"/>
            <w:noWrap/>
            <w:vAlign w:val="center"/>
          </w:tcPr>
          <w:p w14:paraId="6674621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51.84 </w:t>
            </w:r>
          </w:p>
        </w:tc>
      </w:tr>
      <w:tr w14:paraId="2B4C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247" w:type="pct"/>
            <w:tcBorders>
              <w:left w:val="nil"/>
            </w:tcBorders>
            <w:shd w:val="clear" w:color="auto" w:fill="auto"/>
            <w:noWrap/>
            <w:vAlign w:val="center"/>
          </w:tcPr>
          <w:p w14:paraId="6F2CC786">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17</w:t>
            </w:r>
          </w:p>
        </w:tc>
        <w:tc>
          <w:tcPr>
            <w:tcW w:w="1981" w:type="pct"/>
            <w:shd w:val="clear" w:color="auto" w:fill="auto"/>
            <w:vAlign w:val="center"/>
          </w:tcPr>
          <w:p w14:paraId="23EF58D7">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湖南省优秀专家、湖南省技能大师、湖南省技术能手、湖南省乡村车间优秀企业家奖励经费</w:t>
            </w:r>
          </w:p>
        </w:tc>
        <w:tc>
          <w:tcPr>
            <w:tcW w:w="527" w:type="pct"/>
            <w:shd w:val="clear" w:color="auto" w:fill="auto"/>
            <w:noWrap/>
            <w:vAlign w:val="center"/>
          </w:tcPr>
          <w:p w14:paraId="302FFF02">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3C56AD7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48.00 </w:t>
            </w:r>
          </w:p>
        </w:tc>
        <w:tc>
          <w:tcPr>
            <w:tcW w:w="495" w:type="pct"/>
            <w:shd w:val="clear" w:color="auto" w:fill="auto"/>
            <w:noWrap/>
            <w:vAlign w:val="center"/>
          </w:tcPr>
          <w:p w14:paraId="6449A1D8">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77D2BFB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48.00 </w:t>
            </w:r>
          </w:p>
        </w:tc>
        <w:tc>
          <w:tcPr>
            <w:tcW w:w="580" w:type="pct"/>
            <w:tcBorders>
              <w:right w:val="nil"/>
            </w:tcBorders>
            <w:shd w:val="clear" w:color="auto" w:fill="auto"/>
            <w:noWrap/>
            <w:vAlign w:val="center"/>
          </w:tcPr>
          <w:p w14:paraId="6B11F764">
            <w:pPr>
              <w:rPr>
                <w:rFonts w:hint="default" w:ascii="Times New Roman" w:hAnsi="Times New Roman" w:eastAsia="仿宋_GB2312" w:cs="Times New Roman"/>
                <w:kern w:val="0"/>
                <w:sz w:val="11"/>
                <w:szCs w:val="11"/>
                <w:highlight w:val="none"/>
              </w:rPr>
            </w:pPr>
          </w:p>
        </w:tc>
      </w:tr>
      <w:tr w14:paraId="5700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397FEA46">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18</w:t>
            </w:r>
          </w:p>
        </w:tc>
        <w:tc>
          <w:tcPr>
            <w:tcW w:w="1981" w:type="pct"/>
            <w:shd w:val="clear" w:color="auto" w:fill="auto"/>
            <w:vAlign w:val="center"/>
          </w:tcPr>
          <w:p w14:paraId="7B4B573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就业专项2025（省人社厅）</w:t>
            </w:r>
          </w:p>
        </w:tc>
        <w:tc>
          <w:tcPr>
            <w:tcW w:w="527" w:type="pct"/>
            <w:shd w:val="clear" w:color="auto" w:fill="auto"/>
            <w:noWrap/>
            <w:vAlign w:val="center"/>
          </w:tcPr>
          <w:p w14:paraId="145EE13C">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16F36A1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2,500.05 </w:t>
            </w:r>
          </w:p>
        </w:tc>
        <w:tc>
          <w:tcPr>
            <w:tcW w:w="495" w:type="pct"/>
            <w:shd w:val="clear" w:color="auto" w:fill="auto"/>
            <w:noWrap/>
            <w:vAlign w:val="center"/>
          </w:tcPr>
          <w:p w14:paraId="13394C59">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1832A5F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2,500.05 </w:t>
            </w:r>
          </w:p>
        </w:tc>
        <w:tc>
          <w:tcPr>
            <w:tcW w:w="580" w:type="pct"/>
            <w:tcBorders>
              <w:right w:val="nil"/>
            </w:tcBorders>
            <w:shd w:val="clear" w:color="auto" w:fill="auto"/>
            <w:noWrap/>
            <w:vAlign w:val="center"/>
          </w:tcPr>
          <w:p w14:paraId="6A15879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1,955.99 </w:t>
            </w:r>
          </w:p>
        </w:tc>
      </w:tr>
      <w:tr w14:paraId="171B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44E9D10C">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19</w:t>
            </w:r>
          </w:p>
        </w:tc>
        <w:tc>
          <w:tcPr>
            <w:tcW w:w="1981" w:type="pct"/>
            <w:shd w:val="clear" w:color="auto" w:fill="auto"/>
            <w:vAlign w:val="center"/>
          </w:tcPr>
          <w:p w14:paraId="5905A46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考点建设</w:t>
            </w:r>
          </w:p>
        </w:tc>
        <w:tc>
          <w:tcPr>
            <w:tcW w:w="527" w:type="pct"/>
            <w:shd w:val="clear" w:color="auto" w:fill="auto"/>
            <w:noWrap/>
            <w:vAlign w:val="center"/>
          </w:tcPr>
          <w:p w14:paraId="4881FF74">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3E31E9C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250.00 </w:t>
            </w:r>
          </w:p>
        </w:tc>
        <w:tc>
          <w:tcPr>
            <w:tcW w:w="495" w:type="pct"/>
            <w:shd w:val="clear" w:color="auto" w:fill="auto"/>
            <w:noWrap/>
            <w:vAlign w:val="center"/>
          </w:tcPr>
          <w:p w14:paraId="1BE2023C">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487C7F3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250.00 </w:t>
            </w:r>
          </w:p>
        </w:tc>
        <w:tc>
          <w:tcPr>
            <w:tcW w:w="580" w:type="pct"/>
            <w:tcBorders>
              <w:right w:val="nil"/>
            </w:tcBorders>
            <w:shd w:val="clear" w:color="auto" w:fill="auto"/>
            <w:noWrap/>
            <w:vAlign w:val="center"/>
          </w:tcPr>
          <w:p w14:paraId="6B28CBB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250.00 </w:t>
            </w:r>
          </w:p>
        </w:tc>
      </w:tr>
      <w:tr w14:paraId="7378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146759FB">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20</w:t>
            </w:r>
          </w:p>
        </w:tc>
        <w:tc>
          <w:tcPr>
            <w:tcW w:w="1981" w:type="pct"/>
            <w:shd w:val="clear" w:color="auto" w:fill="auto"/>
            <w:vAlign w:val="center"/>
          </w:tcPr>
          <w:p w14:paraId="5BF3B4D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考试考务成本</w:t>
            </w:r>
          </w:p>
        </w:tc>
        <w:tc>
          <w:tcPr>
            <w:tcW w:w="527" w:type="pct"/>
            <w:shd w:val="clear" w:color="auto" w:fill="auto"/>
            <w:noWrap/>
            <w:vAlign w:val="center"/>
          </w:tcPr>
          <w:p w14:paraId="2F6E9BD1">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15C5B5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271.14 </w:t>
            </w:r>
          </w:p>
        </w:tc>
        <w:tc>
          <w:tcPr>
            <w:tcW w:w="495" w:type="pct"/>
            <w:shd w:val="clear" w:color="auto" w:fill="auto"/>
            <w:noWrap/>
            <w:vAlign w:val="center"/>
          </w:tcPr>
          <w:p w14:paraId="0F2A191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2,670.23 </w:t>
            </w:r>
          </w:p>
        </w:tc>
        <w:tc>
          <w:tcPr>
            <w:tcW w:w="629" w:type="pct"/>
            <w:shd w:val="clear" w:color="auto" w:fill="auto"/>
            <w:noWrap/>
            <w:vAlign w:val="center"/>
          </w:tcPr>
          <w:p w14:paraId="5D10549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2,941.37 </w:t>
            </w:r>
          </w:p>
        </w:tc>
        <w:tc>
          <w:tcPr>
            <w:tcW w:w="580" w:type="pct"/>
            <w:tcBorders>
              <w:right w:val="nil"/>
            </w:tcBorders>
            <w:shd w:val="clear" w:color="auto" w:fill="auto"/>
            <w:noWrap/>
            <w:vAlign w:val="center"/>
          </w:tcPr>
          <w:p w14:paraId="56897C7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1,384.38 </w:t>
            </w:r>
          </w:p>
        </w:tc>
      </w:tr>
      <w:tr w14:paraId="4920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FFA0AA8">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21</w:t>
            </w:r>
          </w:p>
        </w:tc>
        <w:tc>
          <w:tcPr>
            <w:tcW w:w="1981" w:type="pct"/>
            <w:shd w:val="clear" w:color="auto" w:fill="auto"/>
            <w:vAlign w:val="center"/>
          </w:tcPr>
          <w:p w14:paraId="3677C4BF">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跨年退单重新上网</w:t>
            </w:r>
          </w:p>
        </w:tc>
        <w:tc>
          <w:tcPr>
            <w:tcW w:w="527" w:type="pct"/>
            <w:shd w:val="clear" w:color="auto" w:fill="auto"/>
            <w:noWrap/>
            <w:vAlign w:val="center"/>
          </w:tcPr>
          <w:p w14:paraId="2BC394A7">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092A862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1.53 </w:t>
            </w:r>
          </w:p>
        </w:tc>
        <w:tc>
          <w:tcPr>
            <w:tcW w:w="495" w:type="pct"/>
            <w:shd w:val="clear" w:color="auto" w:fill="auto"/>
            <w:noWrap/>
            <w:vAlign w:val="center"/>
          </w:tcPr>
          <w:p w14:paraId="3F69B547">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555C2B3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1.53 </w:t>
            </w:r>
          </w:p>
        </w:tc>
        <w:tc>
          <w:tcPr>
            <w:tcW w:w="580" w:type="pct"/>
            <w:tcBorders>
              <w:right w:val="nil"/>
            </w:tcBorders>
            <w:shd w:val="clear" w:color="auto" w:fill="auto"/>
            <w:noWrap/>
            <w:vAlign w:val="center"/>
          </w:tcPr>
          <w:p w14:paraId="4BF32005">
            <w:pPr>
              <w:rPr>
                <w:rFonts w:hint="default" w:ascii="Times New Roman" w:hAnsi="Times New Roman" w:eastAsia="仿宋_GB2312" w:cs="Times New Roman"/>
                <w:kern w:val="0"/>
                <w:sz w:val="11"/>
                <w:szCs w:val="11"/>
                <w:highlight w:val="none"/>
              </w:rPr>
            </w:pPr>
          </w:p>
        </w:tc>
      </w:tr>
      <w:tr w14:paraId="4429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339E03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22</w:t>
            </w:r>
          </w:p>
        </w:tc>
        <w:tc>
          <w:tcPr>
            <w:tcW w:w="1981" w:type="pct"/>
            <w:shd w:val="clear" w:color="auto" w:fill="auto"/>
            <w:vAlign w:val="center"/>
          </w:tcPr>
          <w:p w14:paraId="0E5CBA64">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领导联系服务专家经费</w:t>
            </w:r>
          </w:p>
        </w:tc>
        <w:tc>
          <w:tcPr>
            <w:tcW w:w="527" w:type="pct"/>
            <w:shd w:val="clear" w:color="auto" w:fill="auto"/>
            <w:noWrap/>
            <w:vAlign w:val="center"/>
          </w:tcPr>
          <w:p w14:paraId="16673837">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10E45E1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85.00 </w:t>
            </w:r>
          </w:p>
        </w:tc>
        <w:tc>
          <w:tcPr>
            <w:tcW w:w="495" w:type="pct"/>
            <w:shd w:val="clear" w:color="auto" w:fill="auto"/>
            <w:noWrap/>
            <w:vAlign w:val="center"/>
          </w:tcPr>
          <w:p w14:paraId="23F95B9D">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03C5AA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85.00 </w:t>
            </w:r>
          </w:p>
        </w:tc>
        <w:tc>
          <w:tcPr>
            <w:tcW w:w="580" w:type="pct"/>
            <w:tcBorders>
              <w:right w:val="nil"/>
            </w:tcBorders>
            <w:shd w:val="clear" w:color="auto" w:fill="auto"/>
            <w:noWrap/>
            <w:vAlign w:val="center"/>
          </w:tcPr>
          <w:p w14:paraId="166F3AA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81.51 </w:t>
            </w:r>
          </w:p>
        </w:tc>
      </w:tr>
      <w:tr w14:paraId="417C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F05C198">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23</w:t>
            </w:r>
          </w:p>
        </w:tc>
        <w:tc>
          <w:tcPr>
            <w:tcW w:w="1981" w:type="pct"/>
            <w:shd w:val="clear" w:color="auto" w:fill="auto"/>
            <w:vAlign w:val="center"/>
          </w:tcPr>
          <w:p w14:paraId="6AE0AF25">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流动人员人事档案专项经费</w:t>
            </w:r>
          </w:p>
        </w:tc>
        <w:tc>
          <w:tcPr>
            <w:tcW w:w="527" w:type="pct"/>
            <w:shd w:val="clear" w:color="auto" w:fill="auto"/>
            <w:noWrap/>
            <w:vAlign w:val="center"/>
          </w:tcPr>
          <w:p w14:paraId="48AC10D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193.03 </w:t>
            </w:r>
          </w:p>
        </w:tc>
        <w:tc>
          <w:tcPr>
            <w:tcW w:w="538" w:type="pct"/>
            <w:shd w:val="clear" w:color="auto" w:fill="auto"/>
            <w:noWrap/>
            <w:vAlign w:val="center"/>
          </w:tcPr>
          <w:p w14:paraId="0C0F897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-5.29 </w:t>
            </w:r>
          </w:p>
        </w:tc>
        <w:tc>
          <w:tcPr>
            <w:tcW w:w="495" w:type="pct"/>
            <w:shd w:val="clear" w:color="auto" w:fill="auto"/>
            <w:noWrap/>
            <w:vAlign w:val="center"/>
          </w:tcPr>
          <w:p w14:paraId="4B1A316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742.00 </w:t>
            </w:r>
          </w:p>
        </w:tc>
        <w:tc>
          <w:tcPr>
            <w:tcW w:w="629" w:type="pct"/>
            <w:shd w:val="clear" w:color="auto" w:fill="auto"/>
            <w:noWrap/>
            <w:vAlign w:val="center"/>
          </w:tcPr>
          <w:p w14:paraId="46E6816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929.74 </w:t>
            </w:r>
          </w:p>
        </w:tc>
        <w:tc>
          <w:tcPr>
            <w:tcW w:w="580" w:type="pct"/>
            <w:tcBorders>
              <w:right w:val="nil"/>
            </w:tcBorders>
            <w:shd w:val="clear" w:color="auto" w:fill="auto"/>
            <w:noWrap/>
            <w:vAlign w:val="center"/>
          </w:tcPr>
          <w:p w14:paraId="13FF3AB7">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881.83 </w:t>
            </w:r>
          </w:p>
        </w:tc>
      </w:tr>
      <w:tr w14:paraId="3626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56BD3CD8">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24</w:t>
            </w:r>
          </w:p>
        </w:tc>
        <w:tc>
          <w:tcPr>
            <w:tcW w:w="1981" w:type="pct"/>
            <w:shd w:val="clear" w:color="auto" w:fill="auto"/>
            <w:vAlign w:val="center"/>
          </w:tcPr>
          <w:p w14:paraId="34D4123F">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企业科技创新博士后补助经费(2024结转)</w:t>
            </w:r>
          </w:p>
        </w:tc>
        <w:tc>
          <w:tcPr>
            <w:tcW w:w="527" w:type="pct"/>
            <w:shd w:val="clear" w:color="auto" w:fill="auto"/>
            <w:noWrap/>
            <w:vAlign w:val="center"/>
          </w:tcPr>
          <w:p w14:paraId="46CCC45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50.00 </w:t>
            </w:r>
          </w:p>
        </w:tc>
        <w:tc>
          <w:tcPr>
            <w:tcW w:w="538" w:type="pct"/>
            <w:shd w:val="clear" w:color="auto" w:fill="auto"/>
            <w:noWrap/>
            <w:vAlign w:val="center"/>
          </w:tcPr>
          <w:p w14:paraId="38943191">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283E4EDC">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796416D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50.00 </w:t>
            </w:r>
          </w:p>
        </w:tc>
        <w:tc>
          <w:tcPr>
            <w:tcW w:w="580" w:type="pct"/>
            <w:tcBorders>
              <w:right w:val="nil"/>
            </w:tcBorders>
            <w:shd w:val="clear" w:color="auto" w:fill="auto"/>
            <w:noWrap/>
            <w:vAlign w:val="center"/>
          </w:tcPr>
          <w:p w14:paraId="0FCC92B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30.00 </w:t>
            </w:r>
          </w:p>
        </w:tc>
      </w:tr>
      <w:tr w14:paraId="6655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48C8C95">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25</w:t>
            </w:r>
          </w:p>
        </w:tc>
        <w:tc>
          <w:tcPr>
            <w:tcW w:w="1981" w:type="pct"/>
            <w:shd w:val="clear" w:color="auto" w:fill="auto"/>
            <w:vAlign w:val="center"/>
          </w:tcPr>
          <w:p w14:paraId="4EFA1881">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全国民营企业招聘周</w:t>
            </w:r>
          </w:p>
        </w:tc>
        <w:tc>
          <w:tcPr>
            <w:tcW w:w="527" w:type="pct"/>
            <w:shd w:val="clear" w:color="auto" w:fill="auto"/>
            <w:noWrap/>
            <w:vAlign w:val="center"/>
          </w:tcPr>
          <w:p w14:paraId="6B8AE7C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4.52 </w:t>
            </w:r>
          </w:p>
        </w:tc>
        <w:tc>
          <w:tcPr>
            <w:tcW w:w="538" w:type="pct"/>
            <w:shd w:val="clear" w:color="auto" w:fill="auto"/>
            <w:noWrap/>
            <w:vAlign w:val="center"/>
          </w:tcPr>
          <w:p w14:paraId="4AE99740">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7E5C5EAB">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8A8BFF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4.52 </w:t>
            </w:r>
          </w:p>
        </w:tc>
        <w:tc>
          <w:tcPr>
            <w:tcW w:w="580" w:type="pct"/>
            <w:tcBorders>
              <w:right w:val="nil"/>
            </w:tcBorders>
            <w:shd w:val="clear" w:color="auto" w:fill="auto"/>
            <w:noWrap/>
            <w:vAlign w:val="center"/>
          </w:tcPr>
          <w:p w14:paraId="3CD8DAF8">
            <w:pPr>
              <w:rPr>
                <w:rFonts w:hint="default" w:ascii="Times New Roman" w:hAnsi="Times New Roman" w:eastAsia="仿宋_GB2312" w:cs="Times New Roman"/>
                <w:kern w:val="0"/>
                <w:sz w:val="11"/>
                <w:szCs w:val="11"/>
                <w:highlight w:val="none"/>
              </w:rPr>
            </w:pPr>
          </w:p>
        </w:tc>
      </w:tr>
      <w:tr w14:paraId="281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6B0925C4">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26</w:t>
            </w:r>
          </w:p>
        </w:tc>
        <w:tc>
          <w:tcPr>
            <w:tcW w:w="1981" w:type="pct"/>
            <w:shd w:val="clear" w:color="auto" w:fill="auto"/>
            <w:vAlign w:val="center"/>
          </w:tcPr>
          <w:p w14:paraId="58FABB80">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全省基层专武干部培训</w:t>
            </w:r>
          </w:p>
        </w:tc>
        <w:tc>
          <w:tcPr>
            <w:tcW w:w="527" w:type="pct"/>
            <w:shd w:val="clear" w:color="auto" w:fill="auto"/>
            <w:noWrap/>
            <w:vAlign w:val="center"/>
          </w:tcPr>
          <w:p w14:paraId="25F7FB89">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35798F0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106.78 </w:t>
            </w:r>
          </w:p>
        </w:tc>
        <w:tc>
          <w:tcPr>
            <w:tcW w:w="495" w:type="pct"/>
            <w:shd w:val="clear" w:color="auto" w:fill="auto"/>
            <w:noWrap/>
            <w:vAlign w:val="center"/>
          </w:tcPr>
          <w:p w14:paraId="13712510">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161.24 </w:t>
            </w:r>
          </w:p>
        </w:tc>
        <w:tc>
          <w:tcPr>
            <w:tcW w:w="629" w:type="pct"/>
            <w:shd w:val="clear" w:color="auto" w:fill="auto"/>
            <w:noWrap/>
            <w:vAlign w:val="center"/>
          </w:tcPr>
          <w:p w14:paraId="76A793A7">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268.02 </w:t>
            </w:r>
          </w:p>
        </w:tc>
        <w:tc>
          <w:tcPr>
            <w:tcW w:w="580" w:type="pct"/>
            <w:tcBorders>
              <w:right w:val="nil"/>
            </w:tcBorders>
            <w:shd w:val="clear" w:color="auto" w:fill="auto"/>
            <w:noWrap/>
            <w:vAlign w:val="center"/>
          </w:tcPr>
          <w:p w14:paraId="15D85A6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267.49 </w:t>
            </w:r>
          </w:p>
        </w:tc>
      </w:tr>
      <w:tr w14:paraId="4DFE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1AC0C844">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27</w:t>
            </w:r>
          </w:p>
        </w:tc>
        <w:tc>
          <w:tcPr>
            <w:tcW w:w="1981" w:type="pct"/>
            <w:shd w:val="clear" w:color="auto" w:fill="auto"/>
            <w:vAlign w:val="center"/>
          </w:tcPr>
          <w:p w14:paraId="70CF8E20">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人力资源和社会保障管理事务</w:t>
            </w:r>
          </w:p>
        </w:tc>
        <w:tc>
          <w:tcPr>
            <w:tcW w:w="527" w:type="pct"/>
            <w:shd w:val="clear" w:color="auto" w:fill="auto"/>
            <w:noWrap/>
            <w:vAlign w:val="center"/>
          </w:tcPr>
          <w:p w14:paraId="658C4F0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225.70 </w:t>
            </w:r>
          </w:p>
        </w:tc>
        <w:tc>
          <w:tcPr>
            <w:tcW w:w="538" w:type="pct"/>
            <w:shd w:val="clear" w:color="auto" w:fill="auto"/>
            <w:noWrap/>
            <w:vAlign w:val="center"/>
          </w:tcPr>
          <w:p w14:paraId="52C0542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366.68 </w:t>
            </w:r>
          </w:p>
        </w:tc>
        <w:tc>
          <w:tcPr>
            <w:tcW w:w="495" w:type="pct"/>
            <w:shd w:val="clear" w:color="auto" w:fill="auto"/>
            <w:noWrap/>
            <w:vAlign w:val="center"/>
          </w:tcPr>
          <w:p w14:paraId="37690DC5">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544221D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592.38 </w:t>
            </w:r>
          </w:p>
        </w:tc>
        <w:tc>
          <w:tcPr>
            <w:tcW w:w="580" w:type="pct"/>
            <w:tcBorders>
              <w:right w:val="nil"/>
            </w:tcBorders>
            <w:shd w:val="clear" w:color="auto" w:fill="auto"/>
            <w:noWrap/>
            <w:vAlign w:val="center"/>
          </w:tcPr>
          <w:p w14:paraId="08194F2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523.04 </w:t>
            </w:r>
          </w:p>
        </w:tc>
      </w:tr>
      <w:tr w14:paraId="49F2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3BD06F2E">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28</w:t>
            </w:r>
          </w:p>
        </w:tc>
        <w:tc>
          <w:tcPr>
            <w:tcW w:w="1981" w:type="pct"/>
            <w:shd w:val="clear" w:color="auto" w:fill="auto"/>
            <w:vAlign w:val="center"/>
          </w:tcPr>
          <w:p w14:paraId="46461419">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人社业务工作项目</w:t>
            </w:r>
          </w:p>
        </w:tc>
        <w:tc>
          <w:tcPr>
            <w:tcW w:w="527" w:type="pct"/>
            <w:shd w:val="clear" w:color="auto" w:fill="auto"/>
            <w:noWrap/>
            <w:vAlign w:val="center"/>
          </w:tcPr>
          <w:p w14:paraId="097DDB80">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3C5A7DD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-11.69 </w:t>
            </w:r>
          </w:p>
        </w:tc>
        <w:tc>
          <w:tcPr>
            <w:tcW w:w="495" w:type="pct"/>
            <w:shd w:val="clear" w:color="auto" w:fill="auto"/>
            <w:noWrap/>
            <w:vAlign w:val="center"/>
          </w:tcPr>
          <w:p w14:paraId="769B623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902.00 </w:t>
            </w:r>
          </w:p>
        </w:tc>
        <w:tc>
          <w:tcPr>
            <w:tcW w:w="629" w:type="pct"/>
            <w:shd w:val="clear" w:color="auto" w:fill="auto"/>
            <w:noWrap/>
            <w:vAlign w:val="center"/>
          </w:tcPr>
          <w:p w14:paraId="4214F85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890.31 </w:t>
            </w:r>
          </w:p>
        </w:tc>
        <w:tc>
          <w:tcPr>
            <w:tcW w:w="580" w:type="pct"/>
            <w:tcBorders>
              <w:right w:val="nil"/>
            </w:tcBorders>
            <w:shd w:val="clear" w:color="auto" w:fill="auto"/>
            <w:noWrap/>
            <w:vAlign w:val="center"/>
          </w:tcPr>
          <w:p w14:paraId="3988A36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808.21 </w:t>
            </w:r>
          </w:p>
        </w:tc>
      </w:tr>
      <w:tr w14:paraId="63F7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EF5823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29</w:t>
            </w:r>
          </w:p>
        </w:tc>
        <w:tc>
          <w:tcPr>
            <w:tcW w:w="1981" w:type="pct"/>
            <w:shd w:val="clear" w:color="auto" w:fill="auto"/>
            <w:vAlign w:val="center"/>
          </w:tcPr>
          <w:p w14:paraId="2B929B6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人事考试基地建设</w:t>
            </w:r>
          </w:p>
        </w:tc>
        <w:tc>
          <w:tcPr>
            <w:tcW w:w="527" w:type="pct"/>
            <w:shd w:val="clear" w:color="auto" w:fill="auto"/>
            <w:noWrap/>
            <w:vAlign w:val="center"/>
          </w:tcPr>
          <w:p w14:paraId="32619E35">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65FF298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291.22 </w:t>
            </w:r>
          </w:p>
        </w:tc>
        <w:tc>
          <w:tcPr>
            <w:tcW w:w="495" w:type="pct"/>
            <w:shd w:val="clear" w:color="auto" w:fill="auto"/>
            <w:noWrap/>
            <w:vAlign w:val="center"/>
          </w:tcPr>
          <w:p w14:paraId="08E8E47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400.00 </w:t>
            </w:r>
          </w:p>
        </w:tc>
        <w:tc>
          <w:tcPr>
            <w:tcW w:w="629" w:type="pct"/>
            <w:shd w:val="clear" w:color="auto" w:fill="auto"/>
            <w:noWrap/>
            <w:vAlign w:val="center"/>
          </w:tcPr>
          <w:p w14:paraId="699109C2">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691.22 </w:t>
            </w:r>
          </w:p>
        </w:tc>
        <w:tc>
          <w:tcPr>
            <w:tcW w:w="580" w:type="pct"/>
            <w:tcBorders>
              <w:right w:val="nil"/>
            </w:tcBorders>
            <w:shd w:val="clear" w:color="auto" w:fill="auto"/>
            <w:noWrap/>
            <w:vAlign w:val="center"/>
          </w:tcPr>
          <w:p w14:paraId="7C304C9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12.76 </w:t>
            </w:r>
          </w:p>
        </w:tc>
      </w:tr>
      <w:tr w14:paraId="25CF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18A1A2D3">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30</w:t>
            </w:r>
          </w:p>
        </w:tc>
        <w:tc>
          <w:tcPr>
            <w:tcW w:w="1981" w:type="pct"/>
            <w:shd w:val="clear" w:color="auto" w:fill="auto"/>
            <w:vAlign w:val="center"/>
          </w:tcPr>
          <w:p w14:paraId="0BF043BC">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软件运维服务</w:t>
            </w:r>
          </w:p>
        </w:tc>
        <w:tc>
          <w:tcPr>
            <w:tcW w:w="527" w:type="pct"/>
            <w:shd w:val="clear" w:color="auto" w:fill="auto"/>
            <w:noWrap/>
            <w:vAlign w:val="center"/>
          </w:tcPr>
          <w:p w14:paraId="1B6336ED">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83EDB58">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2E71901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200.00 </w:t>
            </w:r>
          </w:p>
        </w:tc>
        <w:tc>
          <w:tcPr>
            <w:tcW w:w="629" w:type="pct"/>
            <w:shd w:val="clear" w:color="auto" w:fill="auto"/>
            <w:noWrap/>
            <w:vAlign w:val="center"/>
          </w:tcPr>
          <w:p w14:paraId="55B29DD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200.00 </w:t>
            </w:r>
          </w:p>
        </w:tc>
        <w:tc>
          <w:tcPr>
            <w:tcW w:w="580" w:type="pct"/>
            <w:tcBorders>
              <w:right w:val="nil"/>
            </w:tcBorders>
            <w:shd w:val="clear" w:color="auto" w:fill="auto"/>
            <w:noWrap/>
            <w:vAlign w:val="center"/>
          </w:tcPr>
          <w:p w14:paraId="405F5F1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200.00 </w:t>
            </w:r>
          </w:p>
        </w:tc>
      </w:tr>
      <w:tr w14:paraId="3038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280BC1E4">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31</w:t>
            </w:r>
          </w:p>
        </w:tc>
        <w:tc>
          <w:tcPr>
            <w:tcW w:w="1981" w:type="pct"/>
            <w:shd w:val="clear" w:color="auto" w:fill="auto"/>
            <w:vAlign w:val="center"/>
          </w:tcPr>
          <w:p w14:paraId="661A1F7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三支一扶省级配套资金</w:t>
            </w:r>
          </w:p>
        </w:tc>
        <w:tc>
          <w:tcPr>
            <w:tcW w:w="527" w:type="pct"/>
            <w:shd w:val="clear" w:color="auto" w:fill="auto"/>
            <w:noWrap/>
            <w:vAlign w:val="center"/>
          </w:tcPr>
          <w:p w14:paraId="1337128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11.32 </w:t>
            </w:r>
          </w:p>
        </w:tc>
        <w:tc>
          <w:tcPr>
            <w:tcW w:w="538" w:type="pct"/>
            <w:shd w:val="clear" w:color="auto" w:fill="auto"/>
            <w:noWrap/>
            <w:vAlign w:val="center"/>
          </w:tcPr>
          <w:p w14:paraId="42CF3C4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11.54 </w:t>
            </w:r>
          </w:p>
        </w:tc>
        <w:tc>
          <w:tcPr>
            <w:tcW w:w="495" w:type="pct"/>
            <w:shd w:val="clear" w:color="auto" w:fill="auto"/>
            <w:noWrap/>
            <w:vAlign w:val="center"/>
          </w:tcPr>
          <w:p w14:paraId="23496610">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51DD329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22.86 </w:t>
            </w:r>
          </w:p>
        </w:tc>
        <w:tc>
          <w:tcPr>
            <w:tcW w:w="580" w:type="pct"/>
            <w:tcBorders>
              <w:right w:val="nil"/>
            </w:tcBorders>
            <w:shd w:val="clear" w:color="auto" w:fill="auto"/>
            <w:noWrap/>
            <w:vAlign w:val="center"/>
          </w:tcPr>
          <w:p w14:paraId="2DEB2007">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22.86 </w:t>
            </w:r>
          </w:p>
        </w:tc>
      </w:tr>
      <w:tr w14:paraId="28BF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2321EAB">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32</w:t>
            </w:r>
          </w:p>
        </w:tc>
        <w:tc>
          <w:tcPr>
            <w:tcW w:w="1981" w:type="pct"/>
            <w:shd w:val="clear" w:color="auto" w:fill="auto"/>
            <w:vAlign w:val="center"/>
          </w:tcPr>
          <w:p w14:paraId="57CF30D4">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省补助公共就业系列服务活动等项目经费</w:t>
            </w:r>
          </w:p>
        </w:tc>
        <w:tc>
          <w:tcPr>
            <w:tcW w:w="527" w:type="pct"/>
            <w:shd w:val="clear" w:color="auto" w:fill="auto"/>
            <w:noWrap/>
            <w:vAlign w:val="center"/>
          </w:tcPr>
          <w:p w14:paraId="4291236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1,026.13 </w:t>
            </w:r>
          </w:p>
        </w:tc>
        <w:tc>
          <w:tcPr>
            <w:tcW w:w="538" w:type="pct"/>
            <w:shd w:val="clear" w:color="auto" w:fill="auto"/>
            <w:noWrap/>
            <w:vAlign w:val="center"/>
          </w:tcPr>
          <w:p w14:paraId="55076CC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450.00 </w:t>
            </w:r>
          </w:p>
        </w:tc>
        <w:tc>
          <w:tcPr>
            <w:tcW w:w="495" w:type="pct"/>
            <w:shd w:val="clear" w:color="auto" w:fill="auto"/>
            <w:noWrap/>
            <w:vAlign w:val="center"/>
          </w:tcPr>
          <w:p w14:paraId="18E5B42A">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3F3D71D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1,476.13 </w:t>
            </w:r>
          </w:p>
        </w:tc>
        <w:tc>
          <w:tcPr>
            <w:tcW w:w="580" w:type="pct"/>
            <w:tcBorders>
              <w:right w:val="nil"/>
            </w:tcBorders>
            <w:shd w:val="clear" w:color="auto" w:fill="auto"/>
            <w:noWrap/>
            <w:vAlign w:val="center"/>
          </w:tcPr>
          <w:p w14:paraId="33463DD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1,180.79 </w:t>
            </w:r>
          </w:p>
        </w:tc>
      </w:tr>
      <w:tr w14:paraId="7540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52AE523B">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33</w:t>
            </w:r>
          </w:p>
        </w:tc>
        <w:tc>
          <w:tcPr>
            <w:tcW w:w="1981" w:type="pct"/>
            <w:shd w:val="clear" w:color="auto" w:fill="auto"/>
            <w:vAlign w:val="center"/>
          </w:tcPr>
          <w:p w14:paraId="04957EB9">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省补助就业失业监测及信息化建设项目</w:t>
            </w:r>
          </w:p>
        </w:tc>
        <w:tc>
          <w:tcPr>
            <w:tcW w:w="527" w:type="pct"/>
            <w:shd w:val="clear" w:color="auto" w:fill="auto"/>
            <w:noWrap/>
            <w:vAlign w:val="center"/>
          </w:tcPr>
          <w:p w14:paraId="762B3826">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327.55 </w:t>
            </w:r>
          </w:p>
        </w:tc>
        <w:tc>
          <w:tcPr>
            <w:tcW w:w="538" w:type="pct"/>
            <w:shd w:val="clear" w:color="auto" w:fill="auto"/>
            <w:noWrap/>
            <w:vAlign w:val="center"/>
          </w:tcPr>
          <w:p w14:paraId="73160BC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40.00 </w:t>
            </w:r>
          </w:p>
        </w:tc>
        <w:tc>
          <w:tcPr>
            <w:tcW w:w="495" w:type="pct"/>
            <w:shd w:val="clear" w:color="auto" w:fill="auto"/>
            <w:noWrap/>
            <w:vAlign w:val="center"/>
          </w:tcPr>
          <w:p w14:paraId="2FCFBD5F">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4FA0AFC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367.55 </w:t>
            </w:r>
          </w:p>
        </w:tc>
        <w:tc>
          <w:tcPr>
            <w:tcW w:w="580" w:type="pct"/>
            <w:tcBorders>
              <w:right w:val="nil"/>
            </w:tcBorders>
            <w:shd w:val="clear" w:color="auto" w:fill="auto"/>
            <w:noWrap/>
            <w:vAlign w:val="center"/>
          </w:tcPr>
          <w:p w14:paraId="6283CC4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131.77 </w:t>
            </w:r>
          </w:p>
        </w:tc>
      </w:tr>
      <w:tr w14:paraId="422D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3AFC1E2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34</w:t>
            </w:r>
          </w:p>
        </w:tc>
        <w:tc>
          <w:tcPr>
            <w:tcW w:w="1981" w:type="pct"/>
            <w:shd w:val="clear" w:color="auto" w:fill="auto"/>
            <w:vAlign w:val="center"/>
          </w:tcPr>
          <w:p w14:paraId="751EC06C">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省考公务员招录等考试面试工作经费</w:t>
            </w:r>
          </w:p>
        </w:tc>
        <w:tc>
          <w:tcPr>
            <w:tcW w:w="527" w:type="pct"/>
            <w:shd w:val="clear" w:color="auto" w:fill="auto"/>
            <w:noWrap/>
            <w:vAlign w:val="center"/>
          </w:tcPr>
          <w:p w14:paraId="37C8D6C9">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2EE4B80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   </w:t>
            </w:r>
          </w:p>
        </w:tc>
        <w:tc>
          <w:tcPr>
            <w:tcW w:w="495" w:type="pct"/>
            <w:shd w:val="clear" w:color="auto" w:fill="auto"/>
            <w:noWrap/>
            <w:vAlign w:val="center"/>
          </w:tcPr>
          <w:p w14:paraId="1775E587">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336.53 </w:t>
            </w:r>
          </w:p>
        </w:tc>
        <w:tc>
          <w:tcPr>
            <w:tcW w:w="629" w:type="pct"/>
            <w:shd w:val="clear" w:color="auto" w:fill="auto"/>
            <w:noWrap/>
            <w:vAlign w:val="center"/>
          </w:tcPr>
          <w:p w14:paraId="20F329D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336.53 </w:t>
            </w:r>
          </w:p>
        </w:tc>
        <w:tc>
          <w:tcPr>
            <w:tcW w:w="580" w:type="pct"/>
            <w:tcBorders>
              <w:right w:val="nil"/>
            </w:tcBorders>
            <w:shd w:val="clear" w:color="auto" w:fill="auto"/>
            <w:noWrap/>
            <w:vAlign w:val="center"/>
          </w:tcPr>
          <w:p w14:paraId="2B99B12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276.43 </w:t>
            </w:r>
          </w:p>
        </w:tc>
      </w:tr>
      <w:tr w14:paraId="12EC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247" w:type="pct"/>
            <w:tcBorders>
              <w:left w:val="nil"/>
            </w:tcBorders>
            <w:shd w:val="clear" w:color="auto" w:fill="auto"/>
            <w:noWrap/>
            <w:vAlign w:val="center"/>
          </w:tcPr>
          <w:p w14:paraId="694EFD2D">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35</w:t>
            </w:r>
          </w:p>
        </w:tc>
        <w:tc>
          <w:tcPr>
            <w:tcW w:w="1981" w:type="pct"/>
            <w:shd w:val="clear" w:color="auto" w:fill="auto"/>
            <w:vAlign w:val="center"/>
          </w:tcPr>
          <w:p w14:paraId="1653A634">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省社保中心、省医学科技发展中心丧葬费和一次性抚恤金等经费</w:t>
            </w:r>
          </w:p>
        </w:tc>
        <w:tc>
          <w:tcPr>
            <w:tcW w:w="527" w:type="pct"/>
            <w:shd w:val="clear" w:color="auto" w:fill="auto"/>
            <w:noWrap/>
            <w:vAlign w:val="center"/>
          </w:tcPr>
          <w:p w14:paraId="221BE039">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2275C18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36.29 </w:t>
            </w:r>
          </w:p>
        </w:tc>
        <w:tc>
          <w:tcPr>
            <w:tcW w:w="495" w:type="pct"/>
            <w:shd w:val="clear" w:color="auto" w:fill="auto"/>
            <w:noWrap/>
            <w:vAlign w:val="center"/>
          </w:tcPr>
          <w:p w14:paraId="1A8F05B5">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7BDAAF2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36.29 </w:t>
            </w:r>
          </w:p>
        </w:tc>
        <w:tc>
          <w:tcPr>
            <w:tcW w:w="580" w:type="pct"/>
            <w:tcBorders>
              <w:right w:val="nil"/>
            </w:tcBorders>
            <w:shd w:val="clear" w:color="auto" w:fill="auto"/>
            <w:noWrap/>
            <w:vAlign w:val="center"/>
          </w:tcPr>
          <w:p w14:paraId="0F7EEA3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36.29 </w:t>
            </w:r>
          </w:p>
        </w:tc>
      </w:tr>
      <w:tr w14:paraId="3018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bottom w:val="single" w:color="auto" w:sz="4" w:space="0"/>
            </w:tcBorders>
            <w:shd w:val="clear" w:color="auto" w:fill="auto"/>
            <w:noWrap/>
            <w:vAlign w:val="center"/>
          </w:tcPr>
          <w:p w14:paraId="13E7465C">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36</w:t>
            </w:r>
          </w:p>
        </w:tc>
        <w:tc>
          <w:tcPr>
            <w:tcW w:w="1981" w:type="pct"/>
            <w:tcBorders>
              <w:bottom w:val="single" w:color="auto" w:sz="4" w:space="0"/>
            </w:tcBorders>
            <w:shd w:val="clear" w:color="auto" w:fill="auto"/>
            <w:vAlign w:val="center"/>
          </w:tcPr>
          <w:p w14:paraId="2A82F3BE">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省委党校主体班培训</w:t>
            </w:r>
          </w:p>
        </w:tc>
        <w:tc>
          <w:tcPr>
            <w:tcW w:w="527" w:type="pct"/>
            <w:tcBorders>
              <w:bottom w:val="single" w:color="auto" w:sz="4" w:space="0"/>
            </w:tcBorders>
            <w:shd w:val="clear" w:color="auto" w:fill="auto"/>
            <w:noWrap/>
            <w:vAlign w:val="center"/>
          </w:tcPr>
          <w:p w14:paraId="7CCD7BF6">
            <w:pPr>
              <w:rPr>
                <w:rFonts w:hint="default" w:ascii="Times New Roman" w:hAnsi="Times New Roman" w:eastAsia="仿宋_GB2312" w:cs="Times New Roman"/>
                <w:kern w:val="0"/>
                <w:sz w:val="11"/>
                <w:szCs w:val="11"/>
                <w:highlight w:val="none"/>
              </w:rPr>
            </w:pPr>
          </w:p>
        </w:tc>
        <w:tc>
          <w:tcPr>
            <w:tcW w:w="538" w:type="pct"/>
            <w:tcBorders>
              <w:bottom w:val="single" w:color="auto" w:sz="4" w:space="0"/>
            </w:tcBorders>
            <w:shd w:val="clear" w:color="auto" w:fill="auto"/>
            <w:noWrap/>
            <w:vAlign w:val="center"/>
          </w:tcPr>
          <w:p w14:paraId="7219988E">
            <w:pPr>
              <w:rPr>
                <w:rFonts w:hint="default" w:ascii="Times New Roman" w:hAnsi="Times New Roman" w:eastAsia="仿宋_GB2312" w:cs="Times New Roman"/>
                <w:kern w:val="0"/>
                <w:sz w:val="11"/>
                <w:szCs w:val="11"/>
                <w:highlight w:val="none"/>
              </w:rPr>
            </w:pPr>
          </w:p>
        </w:tc>
        <w:tc>
          <w:tcPr>
            <w:tcW w:w="495" w:type="pct"/>
            <w:tcBorders>
              <w:bottom w:val="single" w:color="auto" w:sz="4" w:space="0"/>
            </w:tcBorders>
            <w:shd w:val="clear" w:color="auto" w:fill="auto"/>
            <w:noWrap/>
            <w:vAlign w:val="center"/>
          </w:tcPr>
          <w:p w14:paraId="5AFE7A1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9.00 </w:t>
            </w:r>
          </w:p>
        </w:tc>
        <w:tc>
          <w:tcPr>
            <w:tcW w:w="629" w:type="pct"/>
            <w:tcBorders>
              <w:bottom w:val="single" w:color="auto" w:sz="4" w:space="0"/>
            </w:tcBorders>
            <w:shd w:val="clear" w:color="auto" w:fill="auto"/>
            <w:noWrap/>
            <w:vAlign w:val="center"/>
          </w:tcPr>
          <w:p w14:paraId="6F9EC3F5">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9.00 </w:t>
            </w:r>
          </w:p>
        </w:tc>
        <w:tc>
          <w:tcPr>
            <w:tcW w:w="580" w:type="pct"/>
            <w:tcBorders>
              <w:bottom w:val="single" w:color="auto" w:sz="4" w:space="0"/>
              <w:right w:val="nil"/>
            </w:tcBorders>
            <w:shd w:val="clear" w:color="auto" w:fill="auto"/>
            <w:noWrap/>
            <w:vAlign w:val="center"/>
          </w:tcPr>
          <w:p w14:paraId="38D074A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3.48 </w:t>
            </w:r>
          </w:p>
        </w:tc>
      </w:tr>
      <w:tr w14:paraId="11D4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0161C80F">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37</w:t>
            </w:r>
          </w:p>
        </w:tc>
        <w:tc>
          <w:tcPr>
            <w:tcW w:w="1981" w:type="pct"/>
            <w:shd w:val="clear" w:color="auto" w:fill="auto"/>
            <w:vAlign w:val="center"/>
          </w:tcPr>
          <w:p w14:paraId="5376D7D6">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网络安全及运行维护</w:t>
            </w:r>
          </w:p>
        </w:tc>
        <w:tc>
          <w:tcPr>
            <w:tcW w:w="527" w:type="pct"/>
            <w:shd w:val="clear" w:color="auto" w:fill="auto"/>
            <w:noWrap/>
            <w:vAlign w:val="center"/>
          </w:tcPr>
          <w:p w14:paraId="379312F9">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1E7E11A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0.70 </w:t>
            </w:r>
          </w:p>
        </w:tc>
        <w:tc>
          <w:tcPr>
            <w:tcW w:w="495" w:type="pct"/>
            <w:shd w:val="clear" w:color="auto" w:fill="auto"/>
            <w:noWrap/>
            <w:vAlign w:val="center"/>
          </w:tcPr>
          <w:p w14:paraId="134B7E5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190.00 </w:t>
            </w:r>
          </w:p>
        </w:tc>
        <w:tc>
          <w:tcPr>
            <w:tcW w:w="629" w:type="pct"/>
            <w:shd w:val="clear" w:color="auto" w:fill="auto"/>
            <w:noWrap/>
            <w:vAlign w:val="center"/>
          </w:tcPr>
          <w:p w14:paraId="247ADA1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190.70 </w:t>
            </w:r>
          </w:p>
        </w:tc>
        <w:tc>
          <w:tcPr>
            <w:tcW w:w="580" w:type="pct"/>
            <w:tcBorders>
              <w:right w:val="nil"/>
            </w:tcBorders>
            <w:shd w:val="clear" w:color="auto" w:fill="auto"/>
            <w:noWrap/>
            <w:vAlign w:val="center"/>
          </w:tcPr>
          <w:p w14:paraId="48C1AD53">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159.71 </w:t>
            </w:r>
          </w:p>
        </w:tc>
      </w:tr>
      <w:tr w14:paraId="26C8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17F17B83">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38</w:t>
            </w:r>
          </w:p>
        </w:tc>
        <w:tc>
          <w:tcPr>
            <w:tcW w:w="1981" w:type="pct"/>
            <w:shd w:val="clear" w:color="auto" w:fill="auto"/>
            <w:vAlign w:val="center"/>
          </w:tcPr>
          <w:p w14:paraId="421971A7">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新设博士后创新创业实践基地资助资金</w:t>
            </w:r>
          </w:p>
        </w:tc>
        <w:tc>
          <w:tcPr>
            <w:tcW w:w="527" w:type="pct"/>
            <w:shd w:val="clear" w:color="auto" w:fill="auto"/>
            <w:noWrap/>
            <w:vAlign w:val="center"/>
          </w:tcPr>
          <w:p w14:paraId="2F7056CE">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49F5959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50.00 </w:t>
            </w:r>
          </w:p>
        </w:tc>
        <w:tc>
          <w:tcPr>
            <w:tcW w:w="495" w:type="pct"/>
            <w:shd w:val="clear" w:color="auto" w:fill="auto"/>
            <w:noWrap/>
            <w:vAlign w:val="center"/>
          </w:tcPr>
          <w:p w14:paraId="1685E2BA">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672B119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50.00 </w:t>
            </w:r>
          </w:p>
        </w:tc>
        <w:tc>
          <w:tcPr>
            <w:tcW w:w="580" w:type="pct"/>
            <w:tcBorders>
              <w:right w:val="nil"/>
            </w:tcBorders>
            <w:shd w:val="clear" w:color="auto" w:fill="auto"/>
            <w:noWrap/>
            <w:vAlign w:val="center"/>
          </w:tcPr>
          <w:p w14:paraId="740A5A0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50.00 </w:t>
            </w:r>
          </w:p>
        </w:tc>
      </w:tr>
      <w:tr w14:paraId="3CE2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4DACA0E1">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39</w:t>
            </w:r>
          </w:p>
        </w:tc>
        <w:tc>
          <w:tcPr>
            <w:tcW w:w="1981" w:type="pct"/>
            <w:shd w:val="clear" w:color="auto" w:fill="auto"/>
            <w:vAlign w:val="center"/>
          </w:tcPr>
          <w:p w14:paraId="23AF0E18">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选调生工作经费</w:t>
            </w:r>
          </w:p>
        </w:tc>
        <w:tc>
          <w:tcPr>
            <w:tcW w:w="527" w:type="pct"/>
            <w:shd w:val="clear" w:color="auto" w:fill="auto"/>
            <w:noWrap/>
            <w:vAlign w:val="center"/>
          </w:tcPr>
          <w:p w14:paraId="3535E38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24.51 </w:t>
            </w:r>
          </w:p>
        </w:tc>
        <w:tc>
          <w:tcPr>
            <w:tcW w:w="538" w:type="pct"/>
            <w:shd w:val="clear" w:color="auto" w:fill="auto"/>
            <w:noWrap/>
            <w:vAlign w:val="center"/>
          </w:tcPr>
          <w:p w14:paraId="50AC91B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382.33 </w:t>
            </w:r>
          </w:p>
        </w:tc>
        <w:tc>
          <w:tcPr>
            <w:tcW w:w="495" w:type="pct"/>
            <w:shd w:val="clear" w:color="auto" w:fill="auto"/>
            <w:noWrap/>
            <w:vAlign w:val="center"/>
          </w:tcPr>
          <w:p w14:paraId="0EA5585C">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2B8767E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406.84 </w:t>
            </w:r>
          </w:p>
        </w:tc>
        <w:tc>
          <w:tcPr>
            <w:tcW w:w="580" w:type="pct"/>
            <w:tcBorders>
              <w:right w:val="nil"/>
            </w:tcBorders>
            <w:shd w:val="clear" w:color="auto" w:fill="auto"/>
            <w:noWrap/>
            <w:vAlign w:val="center"/>
          </w:tcPr>
          <w:p w14:paraId="677BEF5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383.40 </w:t>
            </w:r>
          </w:p>
        </w:tc>
      </w:tr>
      <w:tr w14:paraId="5ECD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8CBB451">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40</w:t>
            </w:r>
          </w:p>
        </w:tc>
        <w:tc>
          <w:tcPr>
            <w:tcW w:w="1981" w:type="pct"/>
            <w:shd w:val="clear" w:color="auto" w:fill="auto"/>
            <w:vAlign w:val="center"/>
          </w:tcPr>
          <w:p w14:paraId="00F07CEA">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运转类工作经费</w:t>
            </w:r>
          </w:p>
        </w:tc>
        <w:tc>
          <w:tcPr>
            <w:tcW w:w="527" w:type="pct"/>
            <w:shd w:val="clear" w:color="auto" w:fill="auto"/>
            <w:noWrap/>
            <w:vAlign w:val="center"/>
          </w:tcPr>
          <w:p w14:paraId="70B78747">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63BAFD3E">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294.06 </w:t>
            </w:r>
          </w:p>
        </w:tc>
        <w:tc>
          <w:tcPr>
            <w:tcW w:w="495" w:type="pct"/>
            <w:shd w:val="clear" w:color="auto" w:fill="auto"/>
            <w:noWrap/>
            <w:vAlign w:val="center"/>
          </w:tcPr>
          <w:p w14:paraId="7D6858B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2,106.69 </w:t>
            </w:r>
          </w:p>
        </w:tc>
        <w:tc>
          <w:tcPr>
            <w:tcW w:w="629" w:type="pct"/>
            <w:shd w:val="clear" w:color="auto" w:fill="auto"/>
            <w:noWrap/>
            <w:vAlign w:val="center"/>
          </w:tcPr>
          <w:p w14:paraId="7447212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2,400.75 </w:t>
            </w:r>
          </w:p>
        </w:tc>
        <w:tc>
          <w:tcPr>
            <w:tcW w:w="580" w:type="pct"/>
            <w:tcBorders>
              <w:right w:val="nil"/>
            </w:tcBorders>
            <w:shd w:val="clear" w:color="auto" w:fill="auto"/>
            <w:noWrap/>
            <w:vAlign w:val="center"/>
          </w:tcPr>
          <w:p w14:paraId="4F24B898">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2,310.06 </w:t>
            </w:r>
          </w:p>
        </w:tc>
      </w:tr>
      <w:tr w14:paraId="355C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7637349D">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41</w:t>
            </w:r>
          </w:p>
        </w:tc>
        <w:tc>
          <w:tcPr>
            <w:tcW w:w="1981" w:type="pct"/>
            <w:shd w:val="clear" w:color="auto" w:fill="auto"/>
            <w:vAlign w:val="center"/>
          </w:tcPr>
          <w:p w14:paraId="750E1D05">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支持企业博士后科技创新补助经费</w:t>
            </w:r>
          </w:p>
        </w:tc>
        <w:tc>
          <w:tcPr>
            <w:tcW w:w="527" w:type="pct"/>
            <w:shd w:val="clear" w:color="auto" w:fill="auto"/>
            <w:noWrap/>
            <w:vAlign w:val="center"/>
          </w:tcPr>
          <w:p w14:paraId="0DEF9246">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2A4F23BA">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1,400.00 </w:t>
            </w:r>
          </w:p>
        </w:tc>
        <w:tc>
          <w:tcPr>
            <w:tcW w:w="495" w:type="pct"/>
            <w:shd w:val="clear" w:color="auto" w:fill="auto"/>
            <w:noWrap/>
            <w:vAlign w:val="center"/>
          </w:tcPr>
          <w:p w14:paraId="62645977">
            <w:pPr>
              <w:rPr>
                <w:rFonts w:hint="default" w:ascii="Times New Roman" w:hAnsi="Times New Roman" w:eastAsia="仿宋_GB2312" w:cs="Times New Roman"/>
                <w:kern w:val="0"/>
                <w:sz w:val="11"/>
                <w:szCs w:val="11"/>
                <w:highlight w:val="none"/>
              </w:rPr>
            </w:pPr>
          </w:p>
        </w:tc>
        <w:tc>
          <w:tcPr>
            <w:tcW w:w="629" w:type="pct"/>
            <w:shd w:val="clear" w:color="auto" w:fill="auto"/>
            <w:noWrap/>
            <w:vAlign w:val="center"/>
          </w:tcPr>
          <w:p w14:paraId="0737624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1,400.00 </w:t>
            </w:r>
          </w:p>
        </w:tc>
        <w:tc>
          <w:tcPr>
            <w:tcW w:w="580" w:type="pct"/>
            <w:tcBorders>
              <w:right w:val="nil"/>
            </w:tcBorders>
            <w:shd w:val="clear" w:color="auto" w:fill="auto"/>
            <w:noWrap/>
            <w:vAlign w:val="center"/>
          </w:tcPr>
          <w:p w14:paraId="70F153AB">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1,360.00 </w:t>
            </w:r>
          </w:p>
        </w:tc>
      </w:tr>
      <w:tr w14:paraId="1989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48523F81">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42</w:t>
            </w:r>
          </w:p>
        </w:tc>
        <w:tc>
          <w:tcPr>
            <w:tcW w:w="1981" w:type="pct"/>
            <w:shd w:val="clear" w:color="auto" w:fill="auto"/>
            <w:vAlign w:val="center"/>
          </w:tcPr>
          <w:p w14:paraId="69EF07B1">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资本性设备采购</w:t>
            </w:r>
          </w:p>
        </w:tc>
        <w:tc>
          <w:tcPr>
            <w:tcW w:w="527" w:type="pct"/>
            <w:shd w:val="clear" w:color="auto" w:fill="auto"/>
            <w:noWrap/>
            <w:vAlign w:val="center"/>
          </w:tcPr>
          <w:p w14:paraId="3285D181">
            <w:pPr>
              <w:rPr>
                <w:rFonts w:hint="default" w:ascii="Times New Roman" w:hAnsi="Times New Roman" w:eastAsia="仿宋_GB2312" w:cs="Times New Roman"/>
                <w:kern w:val="0"/>
                <w:sz w:val="11"/>
                <w:szCs w:val="11"/>
                <w:highlight w:val="none"/>
              </w:rPr>
            </w:pPr>
          </w:p>
        </w:tc>
        <w:tc>
          <w:tcPr>
            <w:tcW w:w="538" w:type="pct"/>
            <w:shd w:val="clear" w:color="auto" w:fill="auto"/>
            <w:noWrap/>
            <w:vAlign w:val="center"/>
          </w:tcPr>
          <w:p w14:paraId="758E51C7">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7BD0F9FD">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 </w:t>
            </w:r>
          </w:p>
        </w:tc>
        <w:tc>
          <w:tcPr>
            <w:tcW w:w="629" w:type="pct"/>
            <w:shd w:val="clear" w:color="auto" w:fill="auto"/>
            <w:noWrap/>
            <w:vAlign w:val="center"/>
          </w:tcPr>
          <w:p w14:paraId="17DCAB32">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 </w:t>
            </w:r>
          </w:p>
        </w:tc>
        <w:tc>
          <w:tcPr>
            <w:tcW w:w="580" w:type="pct"/>
            <w:tcBorders>
              <w:right w:val="nil"/>
            </w:tcBorders>
            <w:shd w:val="clear" w:color="auto" w:fill="auto"/>
            <w:noWrap/>
            <w:vAlign w:val="center"/>
          </w:tcPr>
          <w:p w14:paraId="4146D009">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3.00 </w:t>
            </w:r>
          </w:p>
        </w:tc>
      </w:tr>
      <w:tr w14:paraId="140C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7" w:type="pct"/>
            <w:tcBorders>
              <w:left w:val="nil"/>
            </w:tcBorders>
            <w:shd w:val="clear" w:color="auto" w:fill="auto"/>
            <w:noWrap/>
            <w:vAlign w:val="center"/>
          </w:tcPr>
          <w:p w14:paraId="28622938">
            <w:pPr>
              <w:keepNext w:val="0"/>
              <w:keepLines w:val="0"/>
              <w:widowControl/>
              <w:suppressLineNumbers w:val="0"/>
              <w:jc w:val="right"/>
              <w:textAlignment w:val="center"/>
              <w:rPr>
                <w:rFonts w:hint="eastAsia" w:ascii="Times New Roman" w:hAnsi="Times New Roman" w:eastAsia="仿宋_GB2312" w:cs="Times New Roman"/>
                <w:i w:val="0"/>
                <w:iCs w:val="0"/>
                <w:color w:val="000000"/>
                <w:kern w:val="0"/>
                <w:sz w:val="16"/>
                <w:szCs w:val="16"/>
                <w:u w:val="none"/>
                <w:lang w:val="en-US" w:eastAsia="zh-CN" w:bidi="ar"/>
              </w:rPr>
            </w:pPr>
            <w:r>
              <w:rPr>
                <w:rFonts w:hint="eastAsia" w:ascii="Times New Roman" w:hAnsi="Times New Roman" w:eastAsia="仿宋_GB2312" w:cs="Times New Roman"/>
                <w:i w:val="0"/>
                <w:iCs w:val="0"/>
                <w:color w:val="000000"/>
                <w:kern w:val="0"/>
                <w:sz w:val="16"/>
                <w:szCs w:val="16"/>
                <w:u w:val="none"/>
                <w:lang w:val="en-US" w:eastAsia="zh-CN" w:bidi="ar"/>
              </w:rPr>
              <w:t>43</w:t>
            </w:r>
          </w:p>
        </w:tc>
        <w:tc>
          <w:tcPr>
            <w:tcW w:w="1981" w:type="pct"/>
            <w:shd w:val="clear" w:color="auto" w:fill="auto"/>
            <w:vAlign w:val="center"/>
          </w:tcPr>
          <w:p w14:paraId="2EE76BC5">
            <w:pPr>
              <w:keepNext w:val="0"/>
              <w:keepLines w:val="0"/>
              <w:widowControl/>
              <w:suppressLineNumbers w:val="0"/>
              <w:jc w:val="left"/>
              <w:textAlignment w:val="center"/>
              <w:rPr>
                <w:rFonts w:hint="eastAsia" w:ascii="仿宋_GB2312" w:hAnsi="仿宋_GB2312" w:eastAsia="仿宋_GB2312" w:cs="仿宋_GB2312"/>
                <w:kern w:val="0"/>
                <w:sz w:val="11"/>
                <w:szCs w:val="11"/>
                <w:highlight w:val="none"/>
              </w:rPr>
            </w:pPr>
            <w:r>
              <w:rPr>
                <w:rFonts w:hint="eastAsia" w:ascii="仿宋_GB2312" w:hAnsi="仿宋_GB2312" w:eastAsia="仿宋_GB2312" w:cs="仿宋_GB2312"/>
                <w:i w:val="0"/>
                <w:iCs w:val="0"/>
                <w:color w:val="000000"/>
                <w:kern w:val="0"/>
                <w:sz w:val="16"/>
                <w:szCs w:val="16"/>
                <w:u w:val="none"/>
                <w:lang w:val="en-US" w:eastAsia="zh-CN" w:bidi="ar"/>
              </w:rPr>
              <w:t>综合保障工作项目</w:t>
            </w:r>
          </w:p>
        </w:tc>
        <w:tc>
          <w:tcPr>
            <w:tcW w:w="527" w:type="pct"/>
            <w:shd w:val="clear" w:color="auto" w:fill="auto"/>
            <w:noWrap/>
            <w:vAlign w:val="center"/>
          </w:tcPr>
          <w:p w14:paraId="6E242F24">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116.06 </w:t>
            </w:r>
          </w:p>
        </w:tc>
        <w:tc>
          <w:tcPr>
            <w:tcW w:w="538" w:type="pct"/>
            <w:shd w:val="clear" w:color="auto" w:fill="auto"/>
            <w:noWrap/>
            <w:vAlign w:val="center"/>
          </w:tcPr>
          <w:p w14:paraId="6198ECAB">
            <w:pPr>
              <w:rPr>
                <w:rFonts w:hint="default" w:ascii="Times New Roman" w:hAnsi="Times New Roman" w:eastAsia="仿宋_GB2312" w:cs="Times New Roman"/>
                <w:kern w:val="0"/>
                <w:sz w:val="11"/>
                <w:szCs w:val="11"/>
                <w:highlight w:val="none"/>
              </w:rPr>
            </w:pPr>
          </w:p>
        </w:tc>
        <w:tc>
          <w:tcPr>
            <w:tcW w:w="495" w:type="pct"/>
            <w:shd w:val="clear" w:color="auto" w:fill="auto"/>
            <w:noWrap/>
            <w:vAlign w:val="center"/>
          </w:tcPr>
          <w:p w14:paraId="5972E491">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2,476.77 </w:t>
            </w:r>
          </w:p>
        </w:tc>
        <w:tc>
          <w:tcPr>
            <w:tcW w:w="629" w:type="pct"/>
            <w:shd w:val="clear" w:color="auto" w:fill="auto"/>
            <w:noWrap/>
            <w:vAlign w:val="center"/>
          </w:tcPr>
          <w:p w14:paraId="41C99EAC">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2,592.83 </w:t>
            </w:r>
          </w:p>
        </w:tc>
        <w:tc>
          <w:tcPr>
            <w:tcW w:w="580" w:type="pct"/>
            <w:tcBorders>
              <w:right w:val="nil"/>
            </w:tcBorders>
            <w:shd w:val="clear" w:color="auto" w:fill="auto"/>
            <w:noWrap/>
            <w:vAlign w:val="center"/>
          </w:tcPr>
          <w:p w14:paraId="1C7B8CBF">
            <w:pPr>
              <w:keepNext w:val="0"/>
              <w:keepLines w:val="0"/>
              <w:widowControl/>
              <w:suppressLineNumbers w:val="0"/>
              <w:jc w:val="right"/>
              <w:textAlignment w:val="center"/>
              <w:rPr>
                <w:rFonts w:hint="default" w:ascii="Times New Roman" w:hAnsi="Times New Roman" w:eastAsia="仿宋_GB2312" w:cs="Times New Roman"/>
                <w:kern w:val="0"/>
                <w:sz w:val="11"/>
                <w:szCs w:val="11"/>
                <w:highlight w:val="none"/>
              </w:rPr>
            </w:pPr>
            <w:r>
              <w:rPr>
                <w:rFonts w:hint="default" w:ascii="Times New Roman" w:hAnsi="Times New Roman" w:eastAsia="仿宋_GB2312" w:cs="Times New Roman"/>
                <w:i w:val="0"/>
                <w:iCs w:val="0"/>
                <w:color w:val="000000"/>
                <w:kern w:val="0"/>
                <w:sz w:val="16"/>
                <w:szCs w:val="16"/>
                <w:u w:val="none"/>
                <w:lang w:val="en-US" w:eastAsia="zh-CN" w:bidi="ar"/>
              </w:rPr>
              <w:t xml:space="preserve"> 2,567.25 </w:t>
            </w:r>
          </w:p>
        </w:tc>
      </w:tr>
      <w:tr w14:paraId="655E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229" w:type="pct"/>
            <w:gridSpan w:val="2"/>
            <w:tcBorders>
              <w:left w:val="nil"/>
              <w:bottom w:val="single" w:color="auto" w:sz="12" w:space="0"/>
            </w:tcBorders>
            <w:shd w:val="clear" w:color="auto" w:fill="auto"/>
            <w:noWrap/>
            <w:vAlign w:val="center"/>
          </w:tcPr>
          <w:p w14:paraId="5941E70D">
            <w:pPr>
              <w:widowControl/>
              <w:jc w:val="center"/>
              <w:rPr>
                <w:rFonts w:hint="eastAsia" w:ascii="仿宋_GB2312" w:hAnsi="仿宋_GB2312" w:eastAsia="仿宋_GB2312" w:cs="仿宋_GB2312"/>
                <w:b/>
                <w:bCs/>
                <w:kern w:val="0"/>
                <w:sz w:val="18"/>
                <w:szCs w:val="18"/>
                <w:highlight w:val="none"/>
              </w:rPr>
            </w:pPr>
            <w:r>
              <w:rPr>
                <w:rFonts w:hint="eastAsia" w:ascii="仿宋_GB2312" w:hAnsi="仿宋_GB2312" w:eastAsia="仿宋_GB2312" w:cs="仿宋_GB2312"/>
                <w:b/>
                <w:bCs/>
                <w:kern w:val="0"/>
                <w:sz w:val="18"/>
                <w:szCs w:val="18"/>
                <w:highlight w:val="none"/>
              </w:rPr>
              <w:t>合计</w:t>
            </w:r>
          </w:p>
        </w:tc>
        <w:tc>
          <w:tcPr>
            <w:tcW w:w="527" w:type="pct"/>
            <w:tcBorders>
              <w:bottom w:val="single" w:color="auto" w:sz="12" w:space="0"/>
            </w:tcBorders>
            <w:shd w:val="clear" w:color="auto" w:fill="auto"/>
            <w:noWrap/>
            <w:vAlign w:val="center"/>
          </w:tcPr>
          <w:p w14:paraId="5049C785">
            <w:pPr>
              <w:keepNext w:val="0"/>
              <w:keepLines w:val="0"/>
              <w:widowControl/>
              <w:suppressLineNumbers w:val="0"/>
              <w:jc w:val="right"/>
              <w:textAlignment w:val="center"/>
              <w:rPr>
                <w:rFonts w:hint="default" w:ascii="Times New Roman" w:hAnsi="Times New Roman" w:eastAsia="仿宋_GB2312" w:cs="Times New Roman"/>
                <w:b/>
                <w:bCs/>
                <w:i w:val="0"/>
                <w:iCs w:val="0"/>
                <w:color w:val="000000"/>
                <w:kern w:val="0"/>
                <w:sz w:val="16"/>
                <w:szCs w:val="16"/>
                <w:u w:val="none"/>
                <w:lang w:val="en-US" w:eastAsia="zh-CN" w:bidi="ar"/>
              </w:rPr>
            </w:pPr>
            <w:r>
              <w:rPr>
                <w:rFonts w:hint="default" w:ascii="Times New Roman" w:hAnsi="Times New Roman" w:eastAsia="仿宋_GB2312" w:cs="Times New Roman"/>
                <w:b/>
                <w:bCs/>
                <w:i w:val="0"/>
                <w:iCs w:val="0"/>
                <w:color w:val="000000"/>
                <w:kern w:val="0"/>
                <w:sz w:val="16"/>
                <w:szCs w:val="16"/>
                <w:u w:val="none"/>
                <w:lang w:val="en-US" w:eastAsia="zh-CN" w:bidi="ar"/>
              </w:rPr>
              <w:t>2,144.27</w:t>
            </w:r>
          </w:p>
        </w:tc>
        <w:tc>
          <w:tcPr>
            <w:tcW w:w="538" w:type="pct"/>
            <w:tcBorders>
              <w:bottom w:val="single" w:color="auto" w:sz="12" w:space="0"/>
            </w:tcBorders>
            <w:shd w:val="clear" w:color="auto" w:fill="auto"/>
            <w:noWrap/>
            <w:vAlign w:val="center"/>
          </w:tcPr>
          <w:p w14:paraId="39782570">
            <w:pPr>
              <w:keepNext w:val="0"/>
              <w:keepLines w:val="0"/>
              <w:widowControl/>
              <w:suppressLineNumbers w:val="0"/>
              <w:jc w:val="right"/>
              <w:textAlignment w:val="center"/>
              <w:rPr>
                <w:rFonts w:hint="default" w:ascii="Times New Roman" w:hAnsi="Times New Roman" w:eastAsia="仿宋_GB2312" w:cs="Times New Roman"/>
                <w:b/>
                <w:bCs/>
                <w:i w:val="0"/>
                <w:iCs w:val="0"/>
                <w:color w:val="000000"/>
                <w:kern w:val="0"/>
                <w:sz w:val="16"/>
                <w:szCs w:val="16"/>
                <w:u w:val="none"/>
                <w:lang w:val="en-US" w:eastAsia="zh-CN" w:bidi="ar"/>
              </w:rPr>
            </w:pPr>
            <w:r>
              <w:rPr>
                <w:rFonts w:hint="default" w:ascii="Times New Roman" w:hAnsi="Times New Roman" w:eastAsia="仿宋_GB2312" w:cs="Times New Roman"/>
                <w:b/>
                <w:bCs/>
                <w:i w:val="0"/>
                <w:iCs w:val="0"/>
                <w:color w:val="000000"/>
                <w:kern w:val="0"/>
                <w:sz w:val="16"/>
                <w:szCs w:val="16"/>
                <w:u w:val="none"/>
                <w:lang w:val="en-US" w:eastAsia="zh-CN" w:bidi="ar"/>
              </w:rPr>
              <w:t>10,364.82</w:t>
            </w:r>
          </w:p>
        </w:tc>
        <w:tc>
          <w:tcPr>
            <w:tcW w:w="495" w:type="pct"/>
            <w:tcBorders>
              <w:bottom w:val="single" w:color="auto" w:sz="12" w:space="0"/>
            </w:tcBorders>
            <w:shd w:val="clear" w:color="auto" w:fill="auto"/>
            <w:noWrap/>
            <w:vAlign w:val="center"/>
          </w:tcPr>
          <w:p w14:paraId="514117A6">
            <w:pPr>
              <w:keepNext w:val="0"/>
              <w:keepLines w:val="0"/>
              <w:widowControl/>
              <w:suppressLineNumbers w:val="0"/>
              <w:jc w:val="right"/>
              <w:textAlignment w:val="center"/>
              <w:rPr>
                <w:rFonts w:hint="default" w:ascii="Times New Roman" w:hAnsi="Times New Roman" w:eastAsia="仿宋_GB2312" w:cs="Times New Roman"/>
                <w:b/>
                <w:bCs/>
                <w:i w:val="0"/>
                <w:iCs w:val="0"/>
                <w:color w:val="000000"/>
                <w:kern w:val="0"/>
                <w:sz w:val="16"/>
                <w:szCs w:val="16"/>
                <w:u w:val="none"/>
                <w:lang w:val="en-US" w:eastAsia="zh-CN" w:bidi="ar"/>
              </w:rPr>
            </w:pPr>
            <w:r>
              <w:rPr>
                <w:rFonts w:hint="default" w:ascii="Times New Roman" w:hAnsi="Times New Roman" w:eastAsia="仿宋_GB2312" w:cs="Times New Roman"/>
                <w:b/>
                <w:bCs/>
                <w:i w:val="0"/>
                <w:iCs w:val="0"/>
                <w:color w:val="000000"/>
                <w:kern w:val="0"/>
                <w:sz w:val="16"/>
                <w:szCs w:val="16"/>
                <w:u w:val="none"/>
                <w:lang w:val="en-US" w:eastAsia="zh-CN" w:bidi="ar"/>
              </w:rPr>
              <w:t>6,648.56</w:t>
            </w:r>
          </w:p>
        </w:tc>
        <w:tc>
          <w:tcPr>
            <w:tcW w:w="629" w:type="pct"/>
            <w:tcBorders>
              <w:bottom w:val="single" w:color="auto" w:sz="12" w:space="0"/>
            </w:tcBorders>
            <w:shd w:val="clear" w:color="auto" w:fill="auto"/>
            <w:noWrap/>
            <w:vAlign w:val="center"/>
          </w:tcPr>
          <w:p w14:paraId="49350C9A">
            <w:pPr>
              <w:keepNext w:val="0"/>
              <w:keepLines w:val="0"/>
              <w:widowControl/>
              <w:suppressLineNumbers w:val="0"/>
              <w:jc w:val="right"/>
              <w:textAlignment w:val="center"/>
              <w:rPr>
                <w:rFonts w:hint="default" w:ascii="Times New Roman" w:hAnsi="Times New Roman" w:eastAsia="仿宋_GB2312" w:cs="Times New Roman"/>
                <w:b/>
                <w:bCs/>
                <w:i w:val="0"/>
                <w:iCs w:val="0"/>
                <w:color w:val="000000"/>
                <w:kern w:val="0"/>
                <w:sz w:val="16"/>
                <w:szCs w:val="16"/>
                <w:u w:val="none"/>
                <w:lang w:val="en-US" w:eastAsia="zh-CN" w:bidi="ar"/>
              </w:rPr>
            </w:pPr>
            <w:r>
              <w:rPr>
                <w:rFonts w:hint="default" w:ascii="Times New Roman" w:hAnsi="Times New Roman" w:eastAsia="仿宋_GB2312" w:cs="Times New Roman"/>
                <w:b/>
                <w:bCs/>
                <w:i w:val="0"/>
                <w:iCs w:val="0"/>
                <w:color w:val="000000"/>
                <w:kern w:val="0"/>
                <w:sz w:val="16"/>
                <w:szCs w:val="16"/>
                <w:u w:val="none"/>
                <w:lang w:val="en-US" w:eastAsia="zh-CN" w:bidi="ar"/>
              </w:rPr>
              <w:t>19,158.14</w:t>
            </w:r>
          </w:p>
        </w:tc>
        <w:tc>
          <w:tcPr>
            <w:tcW w:w="580" w:type="pct"/>
            <w:tcBorders>
              <w:bottom w:val="single" w:color="auto" w:sz="12" w:space="0"/>
              <w:right w:val="nil"/>
            </w:tcBorders>
            <w:shd w:val="clear" w:color="auto" w:fill="auto"/>
            <w:noWrap/>
            <w:vAlign w:val="center"/>
          </w:tcPr>
          <w:p w14:paraId="13314CDC">
            <w:pPr>
              <w:keepNext w:val="0"/>
              <w:keepLines w:val="0"/>
              <w:widowControl/>
              <w:suppressLineNumbers w:val="0"/>
              <w:jc w:val="right"/>
              <w:textAlignment w:val="center"/>
              <w:rPr>
                <w:rFonts w:hint="default" w:ascii="Times New Roman" w:hAnsi="Times New Roman" w:eastAsia="仿宋_GB2312" w:cs="Times New Roman"/>
                <w:b/>
                <w:bCs/>
                <w:i w:val="0"/>
                <w:iCs w:val="0"/>
                <w:color w:val="000000"/>
                <w:kern w:val="0"/>
                <w:sz w:val="16"/>
                <w:szCs w:val="16"/>
                <w:u w:val="none"/>
                <w:lang w:val="en-US" w:eastAsia="zh-CN" w:bidi="ar"/>
              </w:rPr>
            </w:pPr>
            <w:r>
              <w:rPr>
                <w:rFonts w:hint="default" w:ascii="Times New Roman" w:hAnsi="Times New Roman" w:eastAsia="仿宋_GB2312" w:cs="Times New Roman"/>
                <w:b/>
                <w:bCs/>
                <w:i w:val="0"/>
                <w:iCs w:val="0"/>
                <w:color w:val="000000"/>
                <w:kern w:val="0"/>
                <w:sz w:val="16"/>
                <w:szCs w:val="16"/>
                <w:u w:val="none"/>
                <w:lang w:val="en-US" w:eastAsia="zh-CN" w:bidi="ar"/>
              </w:rPr>
              <w:t>15,224.63</w:t>
            </w:r>
          </w:p>
        </w:tc>
      </w:tr>
    </w:tbl>
    <w:p w14:paraId="4E52B698">
      <w:pPr>
        <w:keepNext w:val="0"/>
        <w:keepLines w:val="0"/>
        <w:pageBreakBefore w:val="0"/>
        <w:widowControl w:val="0"/>
        <w:kinsoku/>
        <w:wordWrap/>
        <w:overflowPunct/>
        <w:topLinePunct w:val="0"/>
        <w:bidi w:val="0"/>
        <w:adjustRightInd/>
        <w:snapToGrid/>
        <w:spacing w:line="592" w:lineRule="exact"/>
        <w:ind w:firstLine="640" w:firstLineChars="200"/>
        <w:textAlignment w:val="auto"/>
        <w:outlineLvl w:val="1"/>
        <w:rPr>
          <w:rFonts w:eastAsia="楷体_GB2312"/>
          <w:b/>
          <w:snapToGrid w:val="0"/>
          <w:kern w:val="0"/>
          <w:sz w:val="32"/>
          <w:szCs w:val="32"/>
          <w:highlight w:val="none"/>
        </w:rPr>
      </w:pPr>
      <w:bookmarkStart w:id="24" w:name="_Toc167115811"/>
      <w:bookmarkStart w:id="25" w:name="_Toc195797065"/>
      <w:r>
        <w:rPr>
          <w:rFonts w:hint="eastAsia" w:eastAsia="楷体_GB2312"/>
          <w:b/>
          <w:snapToGrid w:val="0"/>
          <w:kern w:val="0"/>
          <w:sz w:val="32"/>
          <w:szCs w:val="32"/>
          <w:highlight w:val="none"/>
        </w:rPr>
        <w:t>（三）机关运转情况</w:t>
      </w:r>
      <w:bookmarkEnd w:id="24"/>
      <w:bookmarkEnd w:id="25"/>
    </w:p>
    <w:p w14:paraId="5633BBE9">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sz w:val="32"/>
          <w:szCs w:val="32"/>
          <w:highlight w:val="none"/>
        </w:rPr>
      </w:pPr>
      <w:r>
        <w:rPr>
          <w:rFonts w:hint="eastAsia" w:eastAsia="仿宋_GB2312"/>
          <w:sz w:val="32"/>
          <w:szCs w:val="32"/>
          <w:highlight w:val="none"/>
        </w:rPr>
        <w:t>202</w:t>
      </w:r>
      <w:r>
        <w:rPr>
          <w:rFonts w:hint="eastAsia" w:eastAsia="仿宋_GB2312"/>
          <w:sz w:val="32"/>
          <w:szCs w:val="32"/>
          <w:highlight w:val="none"/>
          <w:lang w:val="en-US" w:eastAsia="zh-CN"/>
        </w:rPr>
        <w:t>5</w:t>
      </w:r>
      <w:r>
        <w:rPr>
          <w:rFonts w:hint="eastAsia" w:eastAsia="仿宋_GB2312"/>
          <w:sz w:val="32"/>
          <w:szCs w:val="32"/>
          <w:highlight w:val="none"/>
        </w:rPr>
        <w:t>年省机构编制主管部门核定我厅本级及所属单位人员编制</w:t>
      </w:r>
      <w:r>
        <w:rPr>
          <w:rFonts w:hint="eastAsia" w:eastAsia="仿宋_GB2312"/>
          <w:sz w:val="32"/>
          <w:szCs w:val="32"/>
          <w:highlight w:val="none"/>
          <w:lang w:val="en-US" w:eastAsia="zh-CN"/>
        </w:rPr>
        <w:t>372</w:t>
      </w:r>
      <w:r>
        <w:rPr>
          <w:rFonts w:hint="eastAsia" w:eastAsia="仿宋_GB2312"/>
          <w:sz w:val="32"/>
          <w:szCs w:val="32"/>
          <w:highlight w:val="none"/>
        </w:rPr>
        <w:t>人，实际在职人数3</w:t>
      </w:r>
      <w:r>
        <w:rPr>
          <w:rFonts w:hint="eastAsia" w:eastAsia="仿宋_GB2312"/>
          <w:sz w:val="32"/>
          <w:szCs w:val="32"/>
          <w:highlight w:val="none"/>
          <w:lang w:val="en-US" w:eastAsia="zh-CN"/>
        </w:rPr>
        <w:t>47</w:t>
      </w:r>
      <w:r>
        <w:rPr>
          <w:rFonts w:hint="eastAsia" w:eastAsia="仿宋_GB2312"/>
          <w:sz w:val="32"/>
          <w:szCs w:val="32"/>
          <w:highlight w:val="none"/>
        </w:rPr>
        <w:t>人，占编制数的9</w:t>
      </w:r>
      <w:r>
        <w:rPr>
          <w:rFonts w:hint="eastAsia" w:eastAsia="仿宋_GB2312"/>
          <w:sz w:val="32"/>
          <w:szCs w:val="32"/>
          <w:highlight w:val="none"/>
          <w:lang w:val="en-US" w:eastAsia="zh-CN"/>
        </w:rPr>
        <w:t>3.28</w:t>
      </w:r>
      <w:r>
        <w:rPr>
          <w:rFonts w:eastAsia="仿宋_GB2312"/>
          <w:sz w:val="32"/>
          <w:szCs w:val="32"/>
          <w:highlight w:val="none"/>
        </w:rPr>
        <w:t>%</w:t>
      </w:r>
      <w:r>
        <w:rPr>
          <w:rFonts w:hint="eastAsia" w:eastAsia="仿宋_GB2312"/>
          <w:sz w:val="32"/>
          <w:szCs w:val="32"/>
          <w:highlight w:val="none"/>
        </w:rPr>
        <w:t>。202</w:t>
      </w:r>
      <w:r>
        <w:rPr>
          <w:rFonts w:hint="eastAsia" w:eastAsia="仿宋_GB2312"/>
          <w:sz w:val="32"/>
          <w:szCs w:val="32"/>
          <w:highlight w:val="none"/>
          <w:lang w:val="en-US" w:eastAsia="zh-CN"/>
        </w:rPr>
        <w:t>5</w:t>
      </w:r>
      <w:r>
        <w:rPr>
          <w:rFonts w:hint="eastAsia" w:eastAsia="仿宋_GB2312"/>
          <w:sz w:val="32"/>
          <w:szCs w:val="32"/>
          <w:highlight w:val="none"/>
        </w:rPr>
        <w:t>年公用经费</w:t>
      </w:r>
      <w:bookmarkStart w:id="26" w:name="_Hlk166682024"/>
      <w:r>
        <w:rPr>
          <w:rFonts w:hint="eastAsia" w:eastAsia="仿宋_GB2312"/>
          <w:sz w:val="32"/>
          <w:szCs w:val="32"/>
          <w:highlight w:val="none"/>
        </w:rPr>
        <w:t>全年</w:t>
      </w:r>
      <w:bookmarkEnd w:id="26"/>
      <w:r>
        <w:rPr>
          <w:rFonts w:hint="eastAsia" w:eastAsia="仿宋_GB2312"/>
          <w:sz w:val="32"/>
          <w:szCs w:val="32"/>
          <w:highlight w:val="none"/>
        </w:rPr>
        <w:t>预算金额为</w:t>
      </w:r>
      <w:r>
        <w:rPr>
          <w:rFonts w:eastAsia="仿宋_GB2312"/>
          <w:sz w:val="32"/>
          <w:szCs w:val="32"/>
          <w:highlight w:val="none"/>
        </w:rPr>
        <w:t>2</w:t>
      </w:r>
      <w:r>
        <w:rPr>
          <w:rFonts w:hint="eastAsia" w:eastAsia="仿宋_GB2312"/>
          <w:sz w:val="32"/>
          <w:szCs w:val="32"/>
          <w:highlight w:val="none"/>
        </w:rPr>
        <w:t>,</w:t>
      </w:r>
      <w:r>
        <w:rPr>
          <w:rFonts w:hint="eastAsia" w:eastAsia="仿宋_GB2312"/>
          <w:sz w:val="32"/>
          <w:szCs w:val="32"/>
          <w:highlight w:val="none"/>
          <w:lang w:val="en-US" w:eastAsia="zh-CN"/>
        </w:rPr>
        <w:t>947.93</w:t>
      </w:r>
      <w:r>
        <w:rPr>
          <w:rFonts w:hint="eastAsia" w:eastAsia="仿宋_GB2312"/>
          <w:sz w:val="32"/>
          <w:szCs w:val="32"/>
          <w:highlight w:val="none"/>
        </w:rPr>
        <w:t>万元，决算支出</w:t>
      </w:r>
      <w:r>
        <w:rPr>
          <w:rFonts w:eastAsia="仿宋_GB2312"/>
          <w:sz w:val="32"/>
          <w:szCs w:val="32"/>
          <w:highlight w:val="none"/>
        </w:rPr>
        <w:t>2</w:t>
      </w:r>
      <w:r>
        <w:rPr>
          <w:rFonts w:hint="eastAsia" w:eastAsia="仿宋_GB2312"/>
          <w:sz w:val="32"/>
          <w:szCs w:val="32"/>
          <w:highlight w:val="none"/>
          <w:lang w:val="en-US" w:eastAsia="zh-CN"/>
        </w:rPr>
        <w:t>,495.63</w:t>
      </w:r>
      <w:r>
        <w:rPr>
          <w:rFonts w:hint="eastAsia" w:eastAsia="仿宋_GB2312"/>
          <w:sz w:val="32"/>
          <w:szCs w:val="32"/>
          <w:highlight w:val="none"/>
        </w:rPr>
        <w:t>万元，公用经费执行率为</w:t>
      </w:r>
      <w:r>
        <w:rPr>
          <w:rFonts w:hint="eastAsia" w:eastAsia="仿宋_GB2312"/>
          <w:sz w:val="32"/>
          <w:szCs w:val="32"/>
          <w:highlight w:val="none"/>
          <w:lang w:val="en-US" w:eastAsia="zh-CN"/>
        </w:rPr>
        <w:t>84.66</w:t>
      </w:r>
      <w:r>
        <w:rPr>
          <w:rFonts w:eastAsia="仿宋_GB2312"/>
          <w:sz w:val="32"/>
          <w:szCs w:val="32"/>
          <w:highlight w:val="none"/>
        </w:rPr>
        <w:t>%</w:t>
      </w:r>
      <w:r>
        <w:rPr>
          <w:rFonts w:hint="eastAsia" w:eastAsia="仿宋_GB2312"/>
          <w:sz w:val="32"/>
          <w:szCs w:val="32"/>
          <w:highlight w:val="none"/>
        </w:rPr>
        <w:t>。</w:t>
      </w:r>
    </w:p>
    <w:p w14:paraId="19BCB98E">
      <w:pPr>
        <w:keepNext w:val="0"/>
        <w:keepLines w:val="0"/>
        <w:pageBreakBefore w:val="0"/>
        <w:widowControl w:val="0"/>
        <w:kinsoku/>
        <w:wordWrap/>
        <w:overflowPunct/>
        <w:topLinePunct w:val="0"/>
        <w:bidi w:val="0"/>
        <w:adjustRightInd/>
        <w:snapToGrid/>
        <w:spacing w:line="592" w:lineRule="exact"/>
        <w:ind w:firstLine="640" w:firstLineChars="200"/>
        <w:textAlignment w:val="auto"/>
        <w:outlineLvl w:val="1"/>
        <w:rPr>
          <w:rFonts w:eastAsia="楷体_GB2312"/>
          <w:b/>
          <w:snapToGrid w:val="0"/>
          <w:color w:val="auto"/>
          <w:kern w:val="0"/>
          <w:sz w:val="32"/>
          <w:szCs w:val="32"/>
          <w:highlight w:val="none"/>
        </w:rPr>
      </w:pPr>
      <w:bookmarkStart w:id="27" w:name="_Toc167115812"/>
      <w:bookmarkStart w:id="28" w:name="_Toc195797066"/>
      <w:r>
        <w:rPr>
          <w:rFonts w:hint="eastAsia" w:eastAsia="楷体_GB2312"/>
          <w:b/>
          <w:snapToGrid w:val="0"/>
          <w:kern w:val="0"/>
          <w:sz w:val="32"/>
          <w:szCs w:val="32"/>
          <w:highlight w:val="none"/>
        </w:rPr>
        <w:t>（四）</w:t>
      </w:r>
      <w:r>
        <w:rPr>
          <w:rFonts w:hint="eastAsia" w:eastAsia="楷体_GB2312"/>
          <w:b/>
          <w:snapToGrid w:val="0"/>
          <w:color w:val="auto"/>
          <w:kern w:val="0"/>
          <w:sz w:val="32"/>
          <w:szCs w:val="32"/>
          <w:highlight w:val="none"/>
        </w:rPr>
        <w:t>“三公经费”支出情况</w:t>
      </w:r>
      <w:bookmarkEnd w:id="27"/>
      <w:bookmarkEnd w:id="28"/>
    </w:p>
    <w:p w14:paraId="7827433D">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hint="eastAsia" w:eastAsia="仿宋_GB2312"/>
          <w:color w:val="FF0000"/>
          <w:sz w:val="32"/>
          <w:szCs w:val="32"/>
          <w:highlight w:val="yellow"/>
        </w:rPr>
      </w:pPr>
      <w:r>
        <w:rPr>
          <w:rFonts w:hint="eastAsia" w:eastAsia="仿宋_GB2312"/>
          <w:color w:val="auto"/>
          <w:sz w:val="32"/>
          <w:szCs w:val="32"/>
          <w:highlight w:val="none"/>
        </w:rPr>
        <w:t>2025年我厅“三公经费”全年预算金额为250.40万元，决算支出138.58万元，“三公经费”预算执行率为55.34%，其中：因公出国（境）费用37.89万元，公务用车购置及运行维护费97.75万元（公务用车购置费24.99万元、公务用车运行维护费72.76万元），公务接待费2.94万元。较2024年决算支出减少44.37万元，下降比例为24.25%，主要系因公出国（境）费、公务接待均较上年减少。</w:t>
      </w:r>
    </w:p>
    <w:p w14:paraId="154B8661">
      <w:pPr>
        <w:keepNext w:val="0"/>
        <w:keepLines w:val="0"/>
        <w:pageBreakBefore w:val="0"/>
        <w:widowControl w:val="0"/>
        <w:numPr>
          <w:ilvl w:val="0"/>
          <w:numId w:val="1"/>
        </w:numPr>
        <w:kinsoku/>
        <w:wordWrap/>
        <w:overflowPunct/>
        <w:topLinePunct w:val="0"/>
        <w:bidi w:val="0"/>
        <w:adjustRightInd/>
        <w:snapToGrid/>
        <w:spacing w:line="592" w:lineRule="exact"/>
        <w:ind w:firstLine="640" w:firstLineChars="200"/>
        <w:textAlignment w:val="auto"/>
        <w:outlineLvl w:val="0"/>
        <w:rPr>
          <w:rFonts w:eastAsia="黑体"/>
          <w:sz w:val="32"/>
          <w:szCs w:val="32"/>
          <w:highlight w:val="none"/>
        </w:rPr>
      </w:pPr>
      <w:bookmarkStart w:id="29" w:name="_Toc167115813"/>
      <w:bookmarkStart w:id="30" w:name="_Toc195797067"/>
      <w:r>
        <w:rPr>
          <w:rFonts w:hint="eastAsia" w:eastAsia="黑体"/>
          <w:sz w:val="32"/>
          <w:szCs w:val="32"/>
          <w:highlight w:val="none"/>
        </w:rPr>
        <w:t>政府基金预算支出情况</w:t>
      </w:r>
      <w:bookmarkEnd w:id="29"/>
      <w:bookmarkEnd w:id="30"/>
    </w:p>
    <w:p w14:paraId="0D6EFD99">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sz w:val="32"/>
          <w:szCs w:val="32"/>
          <w:highlight w:val="none"/>
        </w:rPr>
      </w:pPr>
      <w:r>
        <w:rPr>
          <w:rFonts w:hint="eastAsia" w:eastAsia="仿宋_GB2312"/>
          <w:sz w:val="32"/>
          <w:szCs w:val="32"/>
          <w:highlight w:val="none"/>
        </w:rPr>
        <w:t>我厅不涉及。</w:t>
      </w:r>
    </w:p>
    <w:p w14:paraId="76039F8F">
      <w:pPr>
        <w:keepNext w:val="0"/>
        <w:keepLines w:val="0"/>
        <w:pageBreakBefore w:val="0"/>
        <w:widowControl w:val="0"/>
        <w:numPr>
          <w:ilvl w:val="0"/>
          <w:numId w:val="1"/>
        </w:numPr>
        <w:kinsoku/>
        <w:wordWrap/>
        <w:overflowPunct/>
        <w:topLinePunct w:val="0"/>
        <w:bidi w:val="0"/>
        <w:adjustRightInd/>
        <w:snapToGrid/>
        <w:spacing w:line="592" w:lineRule="exact"/>
        <w:ind w:firstLine="640" w:firstLineChars="200"/>
        <w:textAlignment w:val="auto"/>
        <w:outlineLvl w:val="0"/>
        <w:rPr>
          <w:rFonts w:eastAsia="黑体"/>
          <w:sz w:val="32"/>
          <w:szCs w:val="32"/>
          <w:highlight w:val="none"/>
        </w:rPr>
      </w:pPr>
      <w:bookmarkStart w:id="31" w:name="_Toc167115814"/>
      <w:bookmarkStart w:id="32" w:name="_Toc195797068"/>
      <w:r>
        <w:rPr>
          <w:rFonts w:hint="eastAsia" w:eastAsia="黑体"/>
          <w:sz w:val="32"/>
          <w:szCs w:val="32"/>
          <w:highlight w:val="none"/>
        </w:rPr>
        <w:t>国有资本经营预算支出情况</w:t>
      </w:r>
      <w:bookmarkEnd w:id="31"/>
      <w:bookmarkEnd w:id="32"/>
    </w:p>
    <w:p w14:paraId="040D2E02">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hint="eastAsia" w:eastAsia="仿宋_GB2312"/>
          <w:sz w:val="32"/>
          <w:szCs w:val="32"/>
          <w:highlight w:val="none"/>
        </w:rPr>
      </w:pPr>
      <w:r>
        <w:rPr>
          <w:rFonts w:hint="eastAsia" w:eastAsia="仿宋_GB2312"/>
          <w:sz w:val="32"/>
          <w:szCs w:val="32"/>
          <w:highlight w:val="none"/>
        </w:rPr>
        <w:t>我厅不涉及。</w:t>
      </w:r>
    </w:p>
    <w:p w14:paraId="08AABC5A">
      <w:pPr>
        <w:keepNext w:val="0"/>
        <w:keepLines w:val="0"/>
        <w:pageBreakBefore w:val="0"/>
        <w:widowControl w:val="0"/>
        <w:numPr>
          <w:ilvl w:val="0"/>
          <w:numId w:val="1"/>
        </w:numPr>
        <w:kinsoku/>
        <w:wordWrap/>
        <w:overflowPunct/>
        <w:topLinePunct w:val="0"/>
        <w:bidi w:val="0"/>
        <w:adjustRightInd/>
        <w:snapToGrid/>
        <w:spacing w:line="592" w:lineRule="exact"/>
        <w:ind w:firstLine="640" w:firstLineChars="200"/>
        <w:textAlignment w:val="auto"/>
        <w:outlineLvl w:val="0"/>
        <w:rPr>
          <w:rFonts w:hint="eastAsia" w:eastAsia="黑体"/>
          <w:sz w:val="32"/>
          <w:szCs w:val="32"/>
          <w:highlight w:val="none"/>
        </w:rPr>
      </w:pPr>
      <w:bookmarkStart w:id="33" w:name="_Toc167115815"/>
      <w:bookmarkStart w:id="34" w:name="_Toc195797069"/>
      <w:r>
        <w:rPr>
          <w:rFonts w:hint="eastAsia" w:eastAsia="黑体"/>
          <w:sz w:val="32"/>
          <w:szCs w:val="32"/>
          <w:highlight w:val="none"/>
        </w:rPr>
        <w:t>社会保险基金预算支出情况</w:t>
      </w:r>
      <w:bookmarkEnd w:id="33"/>
      <w:bookmarkEnd w:id="34"/>
    </w:p>
    <w:p w14:paraId="19086FF6">
      <w:pPr>
        <w:spacing w:line="592" w:lineRule="exact"/>
        <w:ind w:firstLine="640" w:firstLineChars="200"/>
        <w:rPr>
          <w:rFonts w:eastAsia="仿宋_GB2312"/>
          <w:sz w:val="32"/>
          <w:szCs w:val="32"/>
        </w:rPr>
      </w:pPr>
      <w:r>
        <w:rPr>
          <w:rFonts w:hint="eastAsia" w:eastAsia="仿宋_GB2312"/>
          <w:sz w:val="32"/>
          <w:szCs w:val="32"/>
        </w:rPr>
        <w:t>我厅社会保险基金涉及企业职工基本养老保险、机关事业单位基本养老保险、城乡居民基本养老保险、工伤保险、失业保险五部分。全省参加养老保险5458.08万人、工伤保险1027万人、失业保险750.7万人。其中：</w:t>
      </w:r>
    </w:p>
    <w:p w14:paraId="73BBEABC">
      <w:pPr>
        <w:spacing w:line="592" w:lineRule="exact"/>
        <w:ind w:firstLine="640" w:firstLineChars="200"/>
        <w:outlineLvl w:val="1"/>
        <w:rPr>
          <w:rFonts w:eastAsia="楷体_GB2312"/>
          <w:b/>
          <w:snapToGrid w:val="0"/>
          <w:kern w:val="0"/>
          <w:sz w:val="32"/>
          <w:szCs w:val="32"/>
        </w:rPr>
      </w:pPr>
      <w:bookmarkStart w:id="35" w:name="_Toc195797070"/>
      <w:bookmarkStart w:id="36" w:name="_Toc167115816"/>
      <w:r>
        <w:rPr>
          <w:rFonts w:hint="eastAsia" w:eastAsia="楷体_GB2312"/>
          <w:b/>
          <w:snapToGrid w:val="0"/>
          <w:kern w:val="0"/>
          <w:sz w:val="32"/>
          <w:szCs w:val="32"/>
        </w:rPr>
        <w:t>（一）企业职工基本养老保险基金预算支出情况</w:t>
      </w:r>
      <w:bookmarkEnd w:id="35"/>
      <w:bookmarkEnd w:id="36"/>
    </w:p>
    <w:p w14:paraId="24C3A5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yellow"/>
          <w:lang w:val="en-US" w:eastAsia="zh-CN"/>
        </w:rPr>
      </w:pPr>
      <w:bookmarkStart w:id="37" w:name="_Toc167115817"/>
      <w:bookmarkStart w:id="38" w:name="_Toc195797072"/>
      <w:r>
        <w:rPr>
          <w:rFonts w:hint="eastAsia" w:ascii="仿宋_GB2312" w:hAnsi="仿宋_GB2312" w:eastAsia="仿宋_GB2312" w:cs="仿宋_GB2312"/>
          <w:b w:val="0"/>
          <w:bCs w:val="0"/>
          <w:color w:val="auto"/>
          <w:sz w:val="32"/>
          <w:szCs w:val="32"/>
          <w:lang w:val="en-US" w:eastAsia="zh-CN"/>
        </w:rPr>
        <w:t>企业单位基本养老保险基金省级统筹预算收入为1,734.96亿元，其中：基本养老保险保费收入1,206.37亿元，利息收入23.35亿元，财政补贴收入452.56亿元，委托投资收益7.39亿元，其他收入3.5亿元，转移收入40亿元，上级补助收入1.79亿元。实际收入为1,647.59亿元，其中：基本养老保险保费收入1,102.05亿元，利息收入22.98亿元，财政补贴收入448.14亿元，委托投资收益21.82亿元，其他收入4.67亿元，转移收入47.93亿元。</w:t>
      </w:r>
    </w:p>
    <w:p w14:paraId="4AF5D2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企业单位基本养老保险基金预算支出为1,678.20亿元，其中：基本养老保险支出1,613.18亿元，丧葬抚恤补助支出52.17亿元，病残津贴1.35亿元，转移支出</w:t>
      </w:r>
      <w:r>
        <w:rPr>
          <w:rFonts w:hint="eastAsia" w:ascii="仿宋_GB2312" w:hAnsi="仿宋_GB2312" w:eastAsia="仿宋_GB2312" w:cs="仿宋_GB2312"/>
          <w:b w:val="0"/>
          <w:bCs w:val="0"/>
          <w:color w:val="auto"/>
          <w:sz w:val="32"/>
          <w:szCs w:val="32"/>
          <w:highlight w:val="none"/>
          <w:lang w:val="en-US" w:eastAsia="zh-CN"/>
        </w:rPr>
        <w:t>11.5亿元</w:t>
      </w:r>
      <w:r>
        <w:rPr>
          <w:rFonts w:hint="eastAsia" w:ascii="仿宋_GB2312" w:hAnsi="仿宋_GB2312" w:eastAsia="仿宋_GB2312" w:cs="仿宋_GB2312"/>
          <w:b w:val="0"/>
          <w:bCs w:val="0"/>
          <w:color w:val="auto"/>
          <w:sz w:val="32"/>
          <w:szCs w:val="32"/>
          <w:lang w:val="en-US" w:eastAsia="zh-CN"/>
        </w:rPr>
        <w:t>。实际支出数为1,710.98亿元，其中基本养老保险支出1,606.70亿元，丧葬抚恤补助支出49.62亿元,病残津贴0.28亿元，其他支出3.36亿元，转移支出11.7亿元，中央调剂基金支出39.32亿元。</w:t>
      </w:r>
    </w:p>
    <w:p w14:paraId="46BF38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2025度收支结余-63.4亿元，期末滚存结余1,743.03亿元。</w:t>
      </w:r>
    </w:p>
    <w:p w14:paraId="1ABF73C6">
      <w:pPr>
        <w:spacing w:line="592" w:lineRule="exact"/>
        <w:ind w:firstLine="640" w:firstLineChars="200"/>
        <w:outlineLvl w:val="1"/>
        <w:rPr>
          <w:rFonts w:eastAsia="楷体_GB2312"/>
          <w:b/>
          <w:snapToGrid w:val="0"/>
          <w:kern w:val="0"/>
          <w:sz w:val="32"/>
          <w:szCs w:val="32"/>
        </w:rPr>
      </w:pPr>
      <w:r>
        <w:rPr>
          <w:rFonts w:hint="eastAsia" w:eastAsia="楷体_GB2312"/>
          <w:b/>
          <w:snapToGrid w:val="0"/>
          <w:kern w:val="0"/>
          <w:sz w:val="32"/>
          <w:szCs w:val="32"/>
        </w:rPr>
        <w:t>（二）机关事业单位基本养老保险基金预算支出情况</w:t>
      </w:r>
      <w:bookmarkEnd w:id="37"/>
      <w:bookmarkEnd w:id="38"/>
    </w:p>
    <w:p w14:paraId="3DC92FD9">
      <w:pPr>
        <w:spacing w:line="592" w:lineRule="exact"/>
        <w:ind w:firstLine="640" w:firstLineChars="200"/>
        <w:rPr>
          <w:rFonts w:eastAsia="仿宋_GB2312"/>
          <w:sz w:val="32"/>
          <w:szCs w:val="32"/>
        </w:rPr>
      </w:pPr>
      <w:r>
        <w:rPr>
          <w:rFonts w:hint="eastAsia" w:eastAsia="仿宋_GB2312"/>
          <w:sz w:val="32"/>
          <w:szCs w:val="32"/>
        </w:rPr>
        <w:t>省本级机关事业单位基本养老保险基金预算收入为</w:t>
      </w:r>
      <w:r>
        <w:rPr>
          <w:rFonts w:hint="eastAsia" w:eastAsia="仿宋_GB2312"/>
          <w:sz w:val="32"/>
          <w:szCs w:val="32"/>
          <w:lang w:val="en-US" w:eastAsia="zh-CN"/>
        </w:rPr>
        <w:t>118.00</w:t>
      </w:r>
      <w:r>
        <w:rPr>
          <w:rFonts w:hint="eastAsia" w:eastAsia="仿宋_GB2312"/>
          <w:sz w:val="32"/>
          <w:szCs w:val="32"/>
        </w:rPr>
        <w:t>亿元，实现收入为</w:t>
      </w:r>
      <w:r>
        <w:rPr>
          <w:rFonts w:hint="eastAsia" w:eastAsia="仿宋_GB2312"/>
          <w:sz w:val="32"/>
          <w:szCs w:val="32"/>
          <w:lang w:val="en-US" w:eastAsia="zh-CN"/>
        </w:rPr>
        <w:t>112.86</w:t>
      </w:r>
      <w:r>
        <w:rPr>
          <w:rFonts w:hint="eastAsia" w:eastAsia="仿宋_GB2312"/>
          <w:sz w:val="32"/>
          <w:szCs w:val="32"/>
        </w:rPr>
        <w:t>亿元</w:t>
      </w:r>
      <w:r>
        <w:rPr>
          <w:rFonts w:hint="eastAsia" w:eastAsia="仿宋_GB2312"/>
          <w:sz w:val="32"/>
          <w:szCs w:val="32"/>
          <w:lang w:eastAsia="zh-CN"/>
        </w:rPr>
        <w:t>，</w:t>
      </w:r>
      <w:r>
        <w:rPr>
          <w:rFonts w:hint="eastAsia" w:eastAsia="仿宋_GB2312"/>
          <w:sz w:val="32"/>
          <w:szCs w:val="32"/>
        </w:rPr>
        <w:t>收入完成预算</w:t>
      </w:r>
      <w:r>
        <w:rPr>
          <w:rFonts w:hint="eastAsia" w:eastAsia="仿宋_GB2312"/>
          <w:sz w:val="32"/>
          <w:szCs w:val="32"/>
          <w:lang w:val="en-US" w:eastAsia="zh-CN"/>
        </w:rPr>
        <w:t>95.64</w:t>
      </w:r>
      <w:r>
        <w:rPr>
          <w:rFonts w:hint="eastAsia" w:eastAsia="仿宋_GB2312"/>
          <w:sz w:val="32"/>
          <w:szCs w:val="32"/>
        </w:rPr>
        <w:t>%。省本级机关事业单位基本养老保险基金预算支出为1</w:t>
      </w:r>
      <w:r>
        <w:rPr>
          <w:rFonts w:hint="eastAsia" w:eastAsia="仿宋_GB2312"/>
          <w:sz w:val="32"/>
          <w:szCs w:val="32"/>
          <w:lang w:val="en-US" w:eastAsia="zh-CN"/>
        </w:rPr>
        <w:t>14.03</w:t>
      </w:r>
      <w:r>
        <w:rPr>
          <w:rFonts w:hint="eastAsia" w:eastAsia="仿宋_GB2312"/>
          <w:sz w:val="32"/>
          <w:szCs w:val="32"/>
        </w:rPr>
        <w:t>亿元，实际支出数为</w:t>
      </w:r>
      <w:r>
        <w:rPr>
          <w:rFonts w:hint="eastAsia" w:eastAsia="仿宋_GB2312"/>
          <w:sz w:val="32"/>
          <w:szCs w:val="32"/>
          <w:lang w:val="en-US" w:eastAsia="zh-CN"/>
        </w:rPr>
        <w:t>109.31</w:t>
      </w:r>
      <w:r>
        <w:rPr>
          <w:rFonts w:hint="eastAsia" w:eastAsia="仿宋_GB2312"/>
          <w:sz w:val="32"/>
          <w:szCs w:val="32"/>
        </w:rPr>
        <w:t>亿元。支出完成预算</w:t>
      </w:r>
      <w:r>
        <w:rPr>
          <w:rFonts w:hint="eastAsia" w:eastAsia="仿宋_GB2312"/>
          <w:sz w:val="32"/>
          <w:szCs w:val="32"/>
          <w:lang w:val="en-US" w:eastAsia="zh-CN"/>
        </w:rPr>
        <w:t>95.86</w:t>
      </w:r>
      <w:r>
        <w:rPr>
          <w:rFonts w:hint="eastAsia" w:eastAsia="仿宋_GB2312"/>
          <w:sz w:val="32"/>
          <w:szCs w:val="32"/>
        </w:rPr>
        <w:t>%。</w:t>
      </w:r>
    </w:p>
    <w:p w14:paraId="6A3D6528">
      <w:pPr>
        <w:spacing w:line="592" w:lineRule="exact"/>
        <w:ind w:firstLine="640" w:firstLineChars="200"/>
        <w:rPr>
          <w:rFonts w:eastAsia="仿宋_GB2312"/>
          <w:sz w:val="32"/>
          <w:szCs w:val="32"/>
        </w:rPr>
      </w:pPr>
      <w:r>
        <w:rPr>
          <w:rFonts w:hint="eastAsia" w:eastAsia="仿宋_GB2312"/>
          <w:sz w:val="32"/>
          <w:szCs w:val="32"/>
        </w:rPr>
        <w:t>202</w:t>
      </w:r>
      <w:r>
        <w:rPr>
          <w:rFonts w:hint="eastAsia" w:eastAsia="仿宋_GB2312"/>
          <w:sz w:val="32"/>
          <w:szCs w:val="32"/>
          <w:lang w:val="en-US" w:eastAsia="zh-CN"/>
        </w:rPr>
        <w:t>5</w:t>
      </w:r>
      <w:r>
        <w:rPr>
          <w:rFonts w:hint="eastAsia" w:eastAsia="仿宋_GB2312"/>
          <w:sz w:val="32"/>
          <w:szCs w:val="32"/>
        </w:rPr>
        <w:t>年度收支结余3.</w:t>
      </w:r>
      <w:r>
        <w:rPr>
          <w:rFonts w:hint="eastAsia" w:eastAsia="仿宋_GB2312"/>
          <w:sz w:val="32"/>
          <w:szCs w:val="32"/>
          <w:lang w:val="en-US" w:eastAsia="zh-CN"/>
        </w:rPr>
        <w:t>55</w:t>
      </w:r>
      <w:r>
        <w:rPr>
          <w:rFonts w:hint="eastAsia" w:eastAsia="仿宋_GB2312"/>
          <w:sz w:val="32"/>
          <w:szCs w:val="32"/>
        </w:rPr>
        <w:t>亿元，期初结余15.7</w:t>
      </w:r>
      <w:r>
        <w:rPr>
          <w:rFonts w:hint="eastAsia" w:eastAsia="仿宋_GB2312"/>
          <w:sz w:val="32"/>
          <w:szCs w:val="32"/>
          <w:lang w:val="en-US" w:eastAsia="zh-CN"/>
        </w:rPr>
        <w:t>2</w:t>
      </w:r>
      <w:r>
        <w:rPr>
          <w:rFonts w:hint="eastAsia" w:eastAsia="仿宋_GB2312"/>
          <w:sz w:val="32"/>
          <w:szCs w:val="32"/>
        </w:rPr>
        <w:t>亿元，期末滚存结余</w:t>
      </w:r>
      <w:r>
        <w:rPr>
          <w:rFonts w:hint="eastAsia" w:eastAsia="仿宋_GB2312"/>
          <w:sz w:val="32"/>
          <w:szCs w:val="32"/>
          <w:lang w:val="en-US" w:eastAsia="zh-CN"/>
        </w:rPr>
        <w:t>19.27</w:t>
      </w:r>
      <w:r>
        <w:rPr>
          <w:rFonts w:hint="eastAsia" w:eastAsia="仿宋_GB2312"/>
          <w:sz w:val="32"/>
          <w:szCs w:val="32"/>
        </w:rPr>
        <w:t>亿元。</w:t>
      </w:r>
    </w:p>
    <w:p w14:paraId="505E9AC1">
      <w:pPr>
        <w:spacing w:line="592" w:lineRule="exact"/>
        <w:ind w:firstLine="640" w:firstLineChars="200"/>
        <w:outlineLvl w:val="1"/>
        <w:rPr>
          <w:rFonts w:eastAsia="楷体_GB2312"/>
          <w:b/>
          <w:snapToGrid w:val="0"/>
          <w:kern w:val="0"/>
          <w:sz w:val="32"/>
          <w:szCs w:val="32"/>
        </w:rPr>
      </w:pPr>
      <w:bookmarkStart w:id="39" w:name="_Toc167115818"/>
      <w:bookmarkStart w:id="40" w:name="_Toc195797073"/>
      <w:r>
        <w:rPr>
          <w:rFonts w:hint="eastAsia" w:eastAsia="楷体_GB2312"/>
          <w:b/>
          <w:snapToGrid w:val="0"/>
          <w:kern w:val="0"/>
          <w:sz w:val="32"/>
          <w:szCs w:val="32"/>
        </w:rPr>
        <w:t>（三）城乡居民基本养老保险基金预算支出情况</w:t>
      </w:r>
      <w:bookmarkEnd w:id="39"/>
      <w:bookmarkEnd w:id="40"/>
    </w:p>
    <w:p w14:paraId="188DB5AE">
      <w:pPr>
        <w:spacing w:line="592" w:lineRule="exact"/>
        <w:ind w:firstLine="640" w:firstLineChars="200"/>
        <w:rPr>
          <w:rFonts w:eastAsia="仿宋_GB2312"/>
          <w:sz w:val="32"/>
          <w:szCs w:val="32"/>
        </w:rPr>
      </w:pPr>
      <w:bookmarkStart w:id="41" w:name="_Toc167115819"/>
      <w:bookmarkStart w:id="42" w:name="_Toc195797074"/>
      <w:r>
        <w:rPr>
          <w:rFonts w:eastAsia="仿宋_GB2312"/>
          <w:sz w:val="32"/>
          <w:szCs w:val="32"/>
        </w:rPr>
        <w:t>省本级城乡居民基本养老保险基金预算收入为</w:t>
      </w:r>
      <w:r>
        <w:rPr>
          <w:rFonts w:hint="eastAsia" w:eastAsia="仿宋_GB2312"/>
          <w:sz w:val="32"/>
          <w:szCs w:val="32"/>
          <w:lang w:val="en-US" w:eastAsia="zh-CN"/>
        </w:rPr>
        <w:t>27.23</w:t>
      </w:r>
      <w:r>
        <w:rPr>
          <w:rFonts w:eastAsia="仿宋_GB2312"/>
          <w:sz w:val="32"/>
          <w:szCs w:val="32"/>
        </w:rPr>
        <w:t>亿元，其中：利息收入</w:t>
      </w:r>
      <w:r>
        <w:rPr>
          <w:rFonts w:hint="eastAsia" w:eastAsia="仿宋_GB2312"/>
          <w:sz w:val="32"/>
          <w:szCs w:val="32"/>
          <w:lang w:val="en-US" w:eastAsia="zh-CN"/>
        </w:rPr>
        <w:t>15.54</w:t>
      </w:r>
      <w:r>
        <w:rPr>
          <w:rFonts w:eastAsia="仿宋_GB2312"/>
          <w:sz w:val="32"/>
          <w:szCs w:val="32"/>
        </w:rPr>
        <w:t>亿元，委托投资收益</w:t>
      </w:r>
      <w:r>
        <w:rPr>
          <w:rFonts w:hint="eastAsia" w:eastAsia="仿宋_GB2312"/>
          <w:sz w:val="32"/>
          <w:szCs w:val="32"/>
          <w:lang w:val="en-US" w:eastAsia="zh-CN"/>
        </w:rPr>
        <w:t>11.69</w:t>
      </w:r>
      <w:r>
        <w:rPr>
          <w:rFonts w:eastAsia="仿宋_GB2312"/>
          <w:sz w:val="32"/>
          <w:szCs w:val="32"/>
        </w:rPr>
        <w:t>亿元。实际收入为</w:t>
      </w:r>
      <w:r>
        <w:rPr>
          <w:rFonts w:hint="eastAsia" w:eastAsia="仿宋_GB2312"/>
          <w:sz w:val="32"/>
          <w:szCs w:val="32"/>
          <w:lang w:val="en-US" w:eastAsia="zh-CN"/>
        </w:rPr>
        <w:t>36.73</w:t>
      </w:r>
      <w:r>
        <w:rPr>
          <w:rFonts w:eastAsia="仿宋_GB2312"/>
          <w:sz w:val="32"/>
          <w:szCs w:val="32"/>
        </w:rPr>
        <w:t>亿元（完成预算的</w:t>
      </w:r>
      <w:r>
        <w:rPr>
          <w:rFonts w:hint="eastAsia" w:eastAsia="仿宋_GB2312"/>
          <w:sz w:val="32"/>
          <w:szCs w:val="32"/>
          <w:lang w:val="en-US" w:eastAsia="zh-CN"/>
        </w:rPr>
        <w:t>134.89</w:t>
      </w:r>
      <w:r>
        <w:rPr>
          <w:rFonts w:eastAsia="仿宋_GB2312"/>
          <w:sz w:val="32"/>
          <w:szCs w:val="32"/>
        </w:rPr>
        <w:t>%</w:t>
      </w:r>
      <w:r>
        <w:rPr>
          <w:rFonts w:hint="eastAsia" w:eastAsia="仿宋_GB2312"/>
          <w:sz w:val="32"/>
          <w:szCs w:val="32"/>
        </w:rPr>
        <w:t>）</w:t>
      </w:r>
      <w:r>
        <w:rPr>
          <w:rFonts w:eastAsia="仿宋_GB2312"/>
          <w:sz w:val="32"/>
          <w:szCs w:val="32"/>
        </w:rPr>
        <w:t>，其中：利息收入</w:t>
      </w:r>
      <w:r>
        <w:rPr>
          <w:rFonts w:hint="eastAsia" w:eastAsia="仿宋_GB2312"/>
          <w:sz w:val="32"/>
          <w:szCs w:val="32"/>
          <w:lang w:val="en-US" w:eastAsia="zh-CN"/>
        </w:rPr>
        <w:t>16.34</w:t>
      </w:r>
      <w:r>
        <w:rPr>
          <w:rFonts w:eastAsia="仿宋_GB2312"/>
          <w:sz w:val="32"/>
          <w:szCs w:val="32"/>
        </w:rPr>
        <w:t>亿元，委托投资收益</w:t>
      </w:r>
      <w:r>
        <w:rPr>
          <w:rFonts w:hint="eastAsia" w:eastAsia="仿宋_GB2312"/>
          <w:sz w:val="32"/>
          <w:szCs w:val="32"/>
          <w:lang w:val="en-US" w:eastAsia="zh-CN"/>
        </w:rPr>
        <w:t>20.39</w:t>
      </w:r>
      <w:r>
        <w:rPr>
          <w:rFonts w:eastAsia="仿宋_GB2312"/>
          <w:sz w:val="32"/>
          <w:szCs w:val="32"/>
        </w:rPr>
        <w:t>亿元。</w:t>
      </w:r>
    </w:p>
    <w:p w14:paraId="5B522CD4">
      <w:pPr>
        <w:spacing w:line="592" w:lineRule="exact"/>
        <w:ind w:firstLine="640" w:firstLineChars="200"/>
        <w:rPr>
          <w:rFonts w:eastAsia="仿宋_GB2312"/>
          <w:sz w:val="32"/>
          <w:szCs w:val="32"/>
        </w:rPr>
      </w:pPr>
      <w:r>
        <w:rPr>
          <w:rFonts w:hint="eastAsia" w:eastAsia="仿宋_GB2312"/>
          <w:sz w:val="32"/>
          <w:szCs w:val="32"/>
          <w:lang w:val="en-US" w:eastAsia="zh-CN"/>
        </w:rPr>
        <w:t>2025年</w:t>
      </w:r>
      <w:r>
        <w:rPr>
          <w:rFonts w:hint="eastAsia" w:eastAsia="仿宋_GB2312"/>
          <w:sz w:val="32"/>
          <w:szCs w:val="32"/>
        </w:rPr>
        <w:t>省本级城乡居保基金预算未支出。期末滚存结余</w:t>
      </w:r>
      <w:r>
        <w:rPr>
          <w:rFonts w:hint="eastAsia" w:eastAsia="仿宋_GB2312"/>
          <w:sz w:val="32"/>
          <w:szCs w:val="32"/>
          <w:lang w:val="en-US" w:eastAsia="zh-CN"/>
        </w:rPr>
        <w:t>138.37</w:t>
      </w:r>
      <w:r>
        <w:rPr>
          <w:rFonts w:hint="eastAsia" w:eastAsia="仿宋_GB2312"/>
          <w:sz w:val="32"/>
          <w:szCs w:val="32"/>
        </w:rPr>
        <w:t>亿元。</w:t>
      </w:r>
    </w:p>
    <w:p w14:paraId="6DCDD17F">
      <w:pPr>
        <w:spacing w:line="592" w:lineRule="exact"/>
        <w:ind w:firstLine="640" w:firstLineChars="200"/>
        <w:outlineLvl w:val="1"/>
        <w:rPr>
          <w:rFonts w:eastAsia="楷体_GB2312"/>
          <w:b/>
          <w:snapToGrid w:val="0"/>
          <w:kern w:val="0"/>
          <w:sz w:val="32"/>
          <w:szCs w:val="32"/>
        </w:rPr>
      </w:pPr>
      <w:r>
        <w:rPr>
          <w:rFonts w:hint="eastAsia" w:eastAsia="楷体_GB2312"/>
          <w:b/>
          <w:snapToGrid w:val="0"/>
          <w:kern w:val="0"/>
          <w:sz w:val="32"/>
          <w:szCs w:val="32"/>
        </w:rPr>
        <w:t>（四）工伤保险基金预算支出情况</w:t>
      </w:r>
      <w:bookmarkEnd w:id="41"/>
      <w:bookmarkEnd w:id="42"/>
    </w:p>
    <w:p w14:paraId="7252A4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bookmarkStart w:id="43" w:name="_Toc195797076"/>
      <w:bookmarkStart w:id="44" w:name="_Toc167115820"/>
      <w:r>
        <w:rPr>
          <w:rFonts w:hint="eastAsia" w:ascii="仿宋_GB2312" w:hAnsi="仿宋_GB2312" w:eastAsia="仿宋_GB2312" w:cs="仿宋_GB2312"/>
          <w:b w:val="0"/>
          <w:bCs w:val="0"/>
          <w:color w:val="auto"/>
          <w:sz w:val="32"/>
          <w:szCs w:val="32"/>
          <w:highlight w:val="none"/>
          <w:lang w:val="en-US" w:eastAsia="zh-CN"/>
        </w:rPr>
        <w:t>工伤保险基金省级统筹预算收入为60.48亿元，其中：工伤保险保费收入58.78亿元，利息收入0.9亿元，财政补贴收入0.8亿元。实际收入为66.50亿元，其中：工伤保险保费收入64.27亿元，利息收入0.96亿元，财政补贴收入1.16亿元，其他收入0.11亿元。</w:t>
      </w:r>
    </w:p>
    <w:p w14:paraId="34A456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工伤保险基金预算支出为55.39亿元，其中：工伤保险待遇支出54.35亿元，劳动能力鉴定支出0.16亿元，工伤预防费用支出0.68亿元，其他支出0.2亿元。实际支出数为52.11亿元，其中：工伤保险待遇支出51.30亿元，劳动能力鉴定支出0.11亿元，工伤预防费用支出0.52亿元，其</w:t>
      </w:r>
      <w:r>
        <w:rPr>
          <w:rFonts w:hint="eastAsia" w:ascii="仿宋_GB2312" w:hAnsi="仿宋_GB2312" w:eastAsia="仿宋_GB2312" w:cs="仿宋_GB2312"/>
          <w:b w:val="0"/>
          <w:bCs w:val="0"/>
          <w:color w:val="auto"/>
          <w:sz w:val="32"/>
          <w:szCs w:val="32"/>
          <w:highlight w:val="none"/>
          <w:lang w:val="en-US" w:eastAsia="zh-CN"/>
        </w:rPr>
        <w:t>他支出0.18亿元。</w:t>
      </w:r>
    </w:p>
    <w:p w14:paraId="1A6139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2025度收支结余14.39亿元，期末滚存结余89.97亿元。</w:t>
      </w:r>
    </w:p>
    <w:p w14:paraId="17EAE28C">
      <w:pPr>
        <w:spacing w:line="592" w:lineRule="exact"/>
        <w:ind w:firstLine="640" w:firstLineChars="200"/>
        <w:outlineLvl w:val="1"/>
        <w:rPr>
          <w:rFonts w:eastAsia="楷体_GB2312"/>
          <w:b/>
          <w:snapToGrid w:val="0"/>
          <w:kern w:val="0"/>
          <w:sz w:val="32"/>
          <w:szCs w:val="32"/>
        </w:rPr>
      </w:pPr>
      <w:r>
        <w:rPr>
          <w:rFonts w:hint="eastAsia" w:eastAsia="楷体_GB2312"/>
          <w:b/>
          <w:snapToGrid w:val="0"/>
          <w:kern w:val="0"/>
          <w:sz w:val="32"/>
          <w:szCs w:val="32"/>
        </w:rPr>
        <w:t>（五）失业保险基金预算支出情况</w:t>
      </w:r>
      <w:bookmarkEnd w:id="43"/>
      <w:bookmarkEnd w:id="44"/>
    </w:p>
    <w:p w14:paraId="2901D5AD">
      <w:pPr>
        <w:spacing w:line="592" w:lineRule="exact"/>
        <w:ind w:firstLine="640" w:firstLineChars="200"/>
        <w:rPr>
          <w:rFonts w:eastAsia="仿宋_GB2312"/>
          <w:sz w:val="32"/>
          <w:szCs w:val="32"/>
          <w:highlight w:val="none"/>
        </w:rPr>
      </w:pPr>
      <w:r>
        <w:rPr>
          <w:rFonts w:hint="eastAsia" w:eastAsia="仿宋_GB2312"/>
          <w:sz w:val="32"/>
          <w:szCs w:val="32"/>
          <w:highlight w:val="none"/>
        </w:rPr>
        <w:t>省本级失业保险基金预算收入为4</w:t>
      </w:r>
      <w:r>
        <w:rPr>
          <w:rFonts w:hint="eastAsia" w:eastAsia="仿宋_GB2312"/>
          <w:sz w:val="32"/>
          <w:szCs w:val="32"/>
          <w:highlight w:val="none"/>
          <w:lang w:val="en-US" w:eastAsia="zh-CN"/>
        </w:rPr>
        <w:t>4.61</w:t>
      </w:r>
      <w:r>
        <w:rPr>
          <w:rFonts w:hint="eastAsia" w:eastAsia="仿宋_GB2312"/>
          <w:sz w:val="32"/>
          <w:szCs w:val="32"/>
          <w:highlight w:val="none"/>
        </w:rPr>
        <w:t>亿元，其中：失业保险费收入</w:t>
      </w:r>
      <w:r>
        <w:rPr>
          <w:rFonts w:hint="eastAsia" w:eastAsia="仿宋_GB2312"/>
          <w:sz w:val="32"/>
          <w:szCs w:val="32"/>
          <w:highlight w:val="none"/>
          <w:lang w:val="en-US" w:eastAsia="zh-CN"/>
        </w:rPr>
        <w:t>7.70</w:t>
      </w:r>
      <w:r>
        <w:rPr>
          <w:rFonts w:hint="eastAsia" w:eastAsia="仿宋_GB2312"/>
          <w:sz w:val="32"/>
          <w:szCs w:val="32"/>
          <w:highlight w:val="none"/>
        </w:rPr>
        <w:t>亿元，利息收入</w:t>
      </w:r>
      <w:r>
        <w:rPr>
          <w:rFonts w:hint="eastAsia" w:eastAsia="仿宋_GB2312"/>
          <w:sz w:val="32"/>
          <w:szCs w:val="32"/>
          <w:highlight w:val="none"/>
          <w:lang w:val="en-US" w:eastAsia="zh-CN"/>
        </w:rPr>
        <w:t>1.59</w:t>
      </w:r>
      <w:r>
        <w:rPr>
          <w:rFonts w:hint="eastAsia" w:eastAsia="仿宋_GB2312"/>
          <w:sz w:val="32"/>
          <w:szCs w:val="32"/>
          <w:highlight w:val="none"/>
        </w:rPr>
        <w:t>亿元，转移收入0.01亿元，下级上解收入3</w:t>
      </w:r>
      <w:r>
        <w:rPr>
          <w:rFonts w:hint="eastAsia" w:eastAsia="仿宋_GB2312"/>
          <w:sz w:val="32"/>
          <w:szCs w:val="32"/>
          <w:highlight w:val="none"/>
          <w:lang w:val="en-US" w:eastAsia="zh-CN"/>
        </w:rPr>
        <w:t>5.30</w:t>
      </w:r>
      <w:r>
        <w:rPr>
          <w:rFonts w:hint="eastAsia" w:eastAsia="仿宋_GB2312"/>
          <w:sz w:val="32"/>
          <w:szCs w:val="32"/>
          <w:highlight w:val="none"/>
        </w:rPr>
        <w:t>亿元。实现收入为</w:t>
      </w:r>
      <w:r>
        <w:rPr>
          <w:rFonts w:hint="eastAsia" w:eastAsia="仿宋_GB2312"/>
          <w:sz w:val="32"/>
          <w:szCs w:val="32"/>
          <w:highlight w:val="none"/>
          <w:lang w:val="en-US" w:eastAsia="zh-CN"/>
        </w:rPr>
        <w:t>50.05</w:t>
      </w:r>
      <w:r>
        <w:rPr>
          <w:rFonts w:hint="eastAsia" w:eastAsia="仿宋_GB2312"/>
          <w:sz w:val="32"/>
          <w:szCs w:val="32"/>
          <w:highlight w:val="none"/>
        </w:rPr>
        <w:t>亿元，其中：失业保险费收入7.</w:t>
      </w:r>
      <w:r>
        <w:rPr>
          <w:rFonts w:hint="eastAsia" w:eastAsia="仿宋_GB2312"/>
          <w:sz w:val="32"/>
          <w:szCs w:val="32"/>
          <w:highlight w:val="none"/>
          <w:lang w:val="en-US" w:eastAsia="zh-CN"/>
        </w:rPr>
        <w:t>64</w:t>
      </w:r>
      <w:r>
        <w:rPr>
          <w:rFonts w:hint="eastAsia" w:eastAsia="仿宋_GB2312"/>
          <w:sz w:val="32"/>
          <w:szCs w:val="32"/>
          <w:highlight w:val="none"/>
        </w:rPr>
        <w:t>亿元，利息收入</w:t>
      </w:r>
      <w:r>
        <w:rPr>
          <w:rFonts w:hint="eastAsia" w:eastAsia="仿宋_GB2312"/>
          <w:sz w:val="32"/>
          <w:szCs w:val="32"/>
          <w:highlight w:val="none"/>
          <w:lang w:val="en-US" w:eastAsia="zh-CN"/>
        </w:rPr>
        <w:t>1.84</w:t>
      </w:r>
      <w:r>
        <w:rPr>
          <w:rFonts w:hint="eastAsia" w:eastAsia="仿宋_GB2312"/>
          <w:sz w:val="32"/>
          <w:szCs w:val="32"/>
          <w:highlight w:val="none"/>
        </w:rPr>
        <w:t>亿元，转移收入0.0</w:t>
      </w:r>
      <w:r>
        <w:rPr>
          <w:rFonts w:hint="eastAsia" w:eastAsia="仿宋_GB2312"/>
          <w:sz w:val="32"/>
          <w:szCs w:val="32"/>
          <w:highlight w:val="none"/>
          <w:lang w:val="en-US" w:eastAsia="zh-CN"/>
        </w:rPr>
        <w:t>2</w:t>
      </w:r>
      <w:r>
        <w:rPr>
          <w:rFonts w:hint="eastAsia" w:eastAsia="仿宋_GB2312"/>
          <w:sz w:val="32"/>
          <w:szCs w:val="32"/>
          <w:highlight w:val="none"/>
        </w:rPr>
        <w:t>亿元，下级上解收入</w:t>
      </w:r>
      <w:r>
        <w:rPr>
          <w:rFonts w:hint="eastAsia" w:eastAsia="仿宋_GB2312"/>
          <w:sz w:val="32"/>
          <w:szCs w:val="32"/>
          <w:highlight w:val="none"/>
          <w:lang w:val="en-US" w:eastAsia="zh-CN"/>
        </w:rPr>
        <w:t>40.54</w:t>
      </w:r>
      <w:r>
        <w:rPr>
          <w:rFonts w:hint="eastAsia" w:eastAsia="仿宋_GB2312"/>
          <w:sz w:val="32"/>
          <w:szCs w:val="32"/>
          <w:highlight w:val="none"/>
        </w:rPr>
        <w:t>亿元。完成预算的112.20%。</w:t>
      </w:r>
    </w:p>
    <w:p w14:paraId="2C41F6F0">
      <w:pPr>
        <w:spacing w:line="592" w:lineRule="exact"/>
        <w:ind w:firstLine="640" w:firstLineChars="200"/>
        <w:rPr>
          <w:rFonts w:eastAsia="仿宋_GB2312"/>
          <w:sz w:val="32"/>
          <w:szCs w:val="32"/>
          <w:highlight w:val="yellow"/>
        </w:rPr>
      </w:pPr>
      <w:r>
        <w:rPr>
          <w:rFonts w:eastAsia="仿宋_GB2312"/>
          <w:sz w:val="32"/>
          <w:szCs w:val="32"/>
          <w:highlight w:val="none"/>
        </w:rPr>
        <w:t>省本级失业保险基金预算支出为</w:t>
      </w:r>
      <w:r>
        <w:rPr>
          <w:rFonts w:hint="eastAsia" w:eastAsia="仿宋_GB2312"/>
          <w:sz w:val="32"/>
          <w:szCs w:val="32"/>
          <w:highlight w:val="none"/>
          <w:lang w:val="en-US" w:eastAsia="zh-CN"/>
        </w:rPr>
        <w:t>43.78</w:t>
      </w:r>
      <w:r>
        <w:rPr>
          <w:rFonts w:hint="eastAsia" w:eastAsia="仿宋_GB2312"/>
          <w:sz w:val="32"/>
          <w:szCs w:val="32"/>
          <w:highlight w:val="none"/>
        </w:rPr>
        <w:t>亿元</w:t>
      </w:r>
      <w:r>
        <w:rPr>
          <w:rFonts w:eastAsia="仿宋_GB2312"/>
          <w:sz w:val="32"/>
          <w:szCs w:val="32"/>
          <w:highlight w:val="none"/>
        </w:rPr>
        <w:t>，其中：失业保险金支出</w:t>
      </w:r>
      <w:r>
        <w:rPr>
          <w:rFonts w:hint="eastAsia" w:eastAsia="仿宋_GB2312"/>
          <w:sz w:val="32"/>
          <w:szCs w:val="32"/>
          <w:highlight w:val="none"/>
        </w:rPr>
        <w:t>0.</w:t>
      </w:r>
      <w:r>
        <w:rPr>
          <w:rFonts w:hint="eastAsia" w:eastAsia="仿宋_GB2312"/>
          <w:sz w:val="32"/>
          <w:szCs w:val="32"/>
          <w:highlight w:val="none"/>
          <w:lang w:val="en-US" w:eastAsia="zh-CN"/>
        </w:rPr>
        <w:t>24</w:t>
      </w:r>
      <w:r>
        <w:rPr>
          <w:rFonts w:hint="eastAsia" w:eastAsia="仿宋_GB2312"/>
          <w:sz w:val="32"/>
          <w:szCs w:val="32"/>
          <w:highlight w:val="none"/>
        </w:rPr>
        <w:t>亿元</w:t>
      </w:r>
      <w:r>
        <w:rPr>
          <w:rFonts w:eastAsia="仿宋_GB2312"/>
          <w:sz w:val="32"/>
          <w:szCs w:val="32"/>
          <w:highlight w:val="none"/>
        </w:rPr>
        <w:t>，基本医疗保险费支出</w:t>
      </w:r>
      <w:r>
        <w:rPr>
          <w:rFonts w:hint="eastAsia" w:eastAsia="仿宋_GB2312"/>
          <w:sz w:val="32"/>
          <w:szCs w:val="32"/>
          <w:highlight w:val="none"/>
        </w:rPr>
        <w:t>0.0</w:t>
      </w:r>
      <w:r>
        <w:rPr>
          <w:rFonts w:hint="eastAsia" w:eastAsia="仿宋_GB2312"/>
          <w:sz w:val="32"/>
          <w:szCs w:val="32"/>
          <w:highlight w:val="none"/>
          <w:lang w:val="en-US" w:eastAsia="zh-CN"/>
        </w:rPr>
        <w:t>6</w:t>
      </w:r>
      <w:r>
        <w:rPr>
          <w:rFonts w:hint="eastAsia" w:eastAsia="仿宋_GB2312"/>
          <w:sz w:val="32"/>
          <w:szCs w:val="32"/>
          <w:highlight w:val="none"/>
        </w:rPr>
        <w:t>亿元</w:t>
      </w:r>
      <w:r>
        <w:rPr>
          <w:rFonts w:eastAsia="仿宋_GB2312"/>
          <w:sz w:val="32"/>
          <w:szCs w:val="32"/>
          <w:highlight w:val="none"/>
        </w:rPr>
        <w:t>，稳定岗位补贴支出</w:t>
      </w:r>
      <w:r>
        <w:rPr>
          <w:rFonts w:hint="eastAsia" w:eastAsia="仿宋_GB2312"/>
          <w:sz w:val="32"/>
          <w:szCs w:val="32"/>
          <w:highlight w:val="none"/>
        </w:rPr>
        <w:t>1.</w:t>
      </w:r>
      <w:r>
        <w:rPr>
          <w:rFonts w:hint="eastAsia" w:eastAsia="仿宋_GB2312"/>
          <w:sz w:val="32"/>
          <w:szCs w:val="32"/>
          <w:highlight w:val="none"/>
          <w:lang w:val="en-US" w:eastAsia="zh-CN"/>
        </w:rPr>
        <w:t>58</w:t>
      </w:r>
      <w:r>
        <w:rPr>
          <w:rFonts w:hint="eastAsia" w:eastAsia="仿宋_GB2312"/>
          <w:sz w:val="32"/>
          <w:szCs w:val="32"/>
          <w:highlight w:val="none"/>
        </w:rPr>
        <w:t>亿元</w:t>
      </w:r>
      <w:r>
        <w:rPr>
          <w:rFonts w:eastAsia="仿宋_GB2312"/>
          <w:sz w:val="32"/>
          <w:szCs w:val="32"/>
          <w:highlight w:val="none"/>
        </w:rPr>
        <w:t>，技能提升补贴支出</w:t>
      </w:r>
      <w:r>
        <w:rPr>
          <w:rFonts w:hint="eastAsia" w:eastAsia="仿宋_GB2312"/>
          <w:sz w:val="32"/>
          <w:szCs w:val="32"/>
          <w:highlight w:val="none"/>
        </w:rPr>
        <w:t>0.</w:t>
      </w:r>
      <w:r>
        <w:rPr>
          <w:rFonts w:hint="eastAsia" w:eastAsia="仿宋_GB2312"/>
          <w:sz w:val="32"/>
          <w:szCs w:val="32"/>
          <w:highlight w:val="none"/>
          <w:lang w:val="en-US" w:eastAsia="zh-CN"/>
        </w:rPr>
        <w:t>22</w:t>
      </w:r>
      <w:r>
        <w:rPr>
          <w:rFonts w:hint="eastAsia" w:eastAsia="仿宋_GB2312"/>
          <w:sz w:val="32"/>
          <w:szCs w:val="32"/>
          <w:highlight w:val="none"/>
        </w:rPr>
        <w:t>亿元</w:t>
      </w:r>
      <w:r>
        <w:rPr>
          <w:rFonts w:eastAsia="仿宋_GB2312"/>
          <w:sz w:val="32"/>
          <w:szCs w:val="32"/>
          <w:highlight w:val="none"/>
        </w:rPr>
        <w:t>，其他费用支出</w:t>
      </w:r>
      <w:r>
        <w:rPr>
          <w:rFonts w:hint="eastAsia" w:eastAsia="仿宋_GB2312"/>
          <w:sz w:val="32"/>
          <w:szCs w:val="32"/>
          <w:highlight w:val="none"/>
        </w:rPr>
        <w:t>0.01亿元</w:t>
      </w:r>
      <w:r>
        <w:rPr>
          <w:rFonts w:eastAsia="仿宋_GB2312"/>
          <w:sz w:val="32"/>
          <w:szCs w:val="32"/>
          <w:highlight w:val="none"/>
        </w:rPr>
        <w:t>，其他支出</w:t>
      </w:r>
      <w:r>
        <w:rPr>
          <w:rFonts w:hint="eastAsia" w:eastAsia="仿宋_GB2312"/>
          <w:sz w:val="32"/>
          <w:szCs w:val="32"/>
          <w:highlight w:val="none"/>
        </w:rPr>
        <w:t>0.</w:t>
      </w:r>
      <w:r>
        <w:rPr>
          <w:rFonts w:hint="eastAsia" w:eastAsia="仿宋_GB2312"/>
          <w:sz w:val="32"/>
          <w:szCs w:val="32"/>
          <w:highlight w:val="none"/>
          <w:lang w:val="en-US" w:eastAsia="zh-CN"/>
        </w:rPr>
        <w:t>17</w:t>
      </w:r>
      <w:r>
        <w:rPr>
          <w:rFonts w:hint="eastAsia" w:eastAsia="仿宋_GB2312"/>
          <w:sz w:val="32"/>
          <w:szCs w:val="32"/>
          <w:highlight w:val="none"/>
        </w:rPr>
        <w:t>亿元</w:t>
      </w:r>
      <w:r>
        <w:rPr>
          <w:rFonts w:eastAsia="仿宋_GB2312"/>
          <w:sz w:val="32"/>
          <w:szCs w:val="32"/>
          <w:highlight w:val="none"/>
        </w:rPr>
        <w:t>，</w:t>
      </w:r>
      <w:r>
        <w:rPr>
          <w:rFonts w:hint="eastAsia" w:eastAsia="仿宋_GB2312"/>
          <w:sz w:val="32"/>
          <w:szCs w:val="32"/>
          <w:highlight w:val="none"/>
        </w:rPr>
        <w:t>转移支出</w:t>
      </w:r>
      <w:r>
        <w:rPr>
          <w:rFonts w:hint="eastAsia" w:eastAsia="仿宋_GB2312"/>
          <w:sz w:val="32"/>
          <w:szCs w:val="32"/>
          <w:highlight w:val="none"/>
          <w:lang w:val="en-US" w:eastAsia="zh-CN"/>
        </w:rPr>
        <w:t>0.02</w:t>
      </w:r>
      <w:r>
        <w:rPr>
          <w:rFonts w:hint="eastAsia" w:eastAsia="仿宋_GB2312"/>
          <w:sz w:val="32"/>
          <w:szCs w:val="32"/>
          <w:highlight w:val="none"/>
        </w:rPr>
        <w:t>万元，</w:t>
      </w:r>
      <w:r>
        <w:rPr>
          <w:rFonts w:eastAsia="仿宋_GB2312"/>
          <w:sz w:val="32"/>
          <w:szCs w:val="32"/>
          <w:highlight w:val="none"/>
        </w:rPr>
        <w:t>补助下级支出</w:t>
      </w:r>
      <w:r>
        <w:rPr>
          <w:rFonts w:hint="eastAsia" w:eastAsia="仿宋_GB2312"/>
          <w:sz w:val="32"/>
          <w:szCs w:val="32"/>
          <w:highlight w:val="none"/>
          <w:lang w:val="en-US" w:eastAsia="zh-CN"/>
        </w:rPr>
        <w:t>41.48</w:t>
      </w:r>
      <w:r>
        <w:rPr>
          <w:rFonts w:hint="eastAsia" w:eastAsia="仿宋_GB2312"/>
          <w:sz w:val="32"/>
          <w:szCs w:val="32"/>
          <w:highlight w:val="none"/>
        </w:rPr>
        <w:t>亿元</w:t>
      </w:r>
      <w:r>
        <w:rPr>
          <w:rFonts w:eastAsia="仿宋_GB2312"/>
          <w:sz w:val="32"/>
          <w:szCs w:val="32"/>
          <w:highlight w:val="none"/>
        </w:rPr>
        <w:t>。实际支出为</w:t>
      </w:r>
      <w:r>
        <w:rPr>
          <w:rFonts w:hint="eastAsia" w:eastAsia="仿宋_GB2312"/>
          <w:sz w:val="32"/>
          <w:szCs w:val="32"/>
          <w:highlight w:val="none"/>
          <w:lang w:val="en-US" w:eastAsia="zh-CN"/>
        </w:rPr>
        <w:t>50.54</w:t>
      </w:r>
      <w:r>
        <w:rPr>
          <w:rFonts w:hint="eastAsia" w:eastAsia="仿宋_GB2312"/>
          <w:sz w:val="32"/>
          <w:szCs w:val="32"/>
          <w:highlight w:val="none"/>
        </w:rPr>
        <w:t>亿元</w:t>
      </w:r>
      <w:r>
        <w:rPr>
          <w:rFonts w:hint="eastAsia" w:eastAsia="仿宋_GB2312"/>
          <w:sz w:val="32"/>
          <w:szCs w:val="32"/>
          <w:highlight w:val="none"/>
          <w:lang w:eastAsia="zh-CN"/>
        </w:rPr>
        <w:t>，</w:t>
      </w:r>
      <w:r>
        <w:rPr>
          <w:rFonts w:eastAsia="仿宋_GB2312"/>
          <w:sz w:val="32"/>
          <w:szCs w:val="32"/>
          <w:highlight w:val="none"/>
        </w:rPr>
        <w:t>其中：失业保险金支出</w:t>
      </w:r>
      <w:r>
        <w:rPr>
          <w:rFonts w:hint="eastAsia" w:eastAsia="仿宋_GB2312"/>
          <w:sz w:val="32"/>
          <w:szCs w:val="32"/>
          <w:highlight w:val="none"/>
        </w:rPr>
        <w:t>0.</w:t>
      </w:r>
      <w:r>
        <w:rPr>
          <w:rFonts w:hint="eastAsia" w:eastAsia="仿宋_GB2312"/>
          <w:sz w:val="32"/>
          <w:szCs w:val="32"/>
          <w:highlight w:val="none"/>
          <w:lang w:val="en-US" w:eastAsia="zh-CN"/>
        </w:rPr>
        <w:t>35</w:t>
      </w:r>
      <w:r>
        <w:rPr>
          <w:rFonts w:hint="eastAsia" w:eastAsia="仿宋_GB2312"/>
          <w:sz w:val="32"/>
          <w:szCs w:val="32"/>
          <w:highlight w:val="none"/>
        </w:rPr>
        <w:t>亿元</w:t>
      </w:r>
      <w:r>
        <w:rPr>
          <w:rFonts w:eastAsia="仿宋_GB2312"/>
          <w:sz w:val="32"/>
          <w:szCs w:val="32"/>
          <w:highlight w:val="none"/>
        </w:rPr>
        <w:t>，基本医疗保险费支出</w:t>
      </w:r>
      <w:r>
        <w:rPr>
          <w:rFonts w:hint="eastAsia" w:eastAsia="仿宋_GB2312"/>
          <w:sz w:val="32"/>
          <w:szCs w:val="32"/>
          <w:highlight w:val="none"/>
        </w:rPr>
        <w:t>0.0</w:t>
      </w:r>
      <w:r>
        <w:rPr>
          <w:rFonts w:hint="eastAsia" w:eastAsia="仿宋_GB2312"/>
          <w:sz w:val="32"/>
          <w:szCs w:val="32"/>
          <w:highlight w:val="none"/>
          <w:lang w:val="en-US" w:eastAsia="zh-CN"/>
        </w:rPr>
        <w:t>8</w:t>
      </w:r>
      <w:r>
        <w:rPr>
          <w:rFonts w:hint="eastAsia" w:eastAsia="仿宋_GB2312"/>
          <w:sz w:val="32"/>
          <w:szCs w:val="32"/>
          <w:highlight w:val="none"/>
        </w:rPr>
        <w:t>亿元</w:t>
      </w:r>
      <w:r>
        <w:rPr>
          <w:rFonts w:eastAsia="仿宋_GB2312"/>
          <w:sz w:val="32"/>
          <w:szCs w:val="32"/>
          <w:highlight w:val="none"/>
        </w:rPr>
        <w:t>，稳定岗位补贴支出</w:t>
      </w:r>
      <w:r>
        <w:rPr>
          <w:rFonts w:hint="eastAsia" w:eastAsia="仿宋_GB2312"/>
          <w:sz w:val="32"/>
          <w:szCs w:val="32"/>
          <w:highlight w:val="none"/>
        </w:rPr>
        <w:t>1.</w:t>
      </w:r>
      <w:r>
        <w:rPr>
          <w:rFonts w:hint="eastAsia" w:eastAsia="仿宋_GB2312"/>
          <w:sz w:val="32"/>
          <w:szCs w:val="32"/>
          <w:highlight w:val="none"/>
          <w:lang w:val="en-US" w:eastAsia="zh-CN"/>
        </w:rPr>
        <w:t>99</w:t>
      </w:r>
      <w:r>
        <w:rPr>
          <w:rFonts w:hint="eastAsia" w:eastAsia="仿宋_GB2312"/>
          <w:sz w:val="32"/>
          <w:szCs w:val="32"/>
          <w:highlight w:val="none"/>
        </w:rPr>
        <w:t>亿元</w:t>
      </w:r>
      <w:r>
        <w:rPr>
          <w:rFonts w:eastAsia="仿宋_GB2312"/>
          <w:sz w:val="32"/>
          <w:szCs w:val="32"/>
          <w:highlight w:val="none"/>
        </w:rPr>
        <w:t>，技能提升补贴支出</w:t>
      </w:r>
      <w:r>
        <w:rPr>
          <w:rFonts w:hint="eastAsia" w:eastAsia="仿宋_GB2312"/>
          <w:sz w:val="32"/>
          <w:szCs w:val="32"/>
          <w:highlight w:val="none"/>
        </w:rPr>
        <w:t>0.</w:t>
      </w:r>
      <w:r>
        <w:rPr>
          <w:rFonts w:hint="eastAsia" w:eastAsia="仿宋_GB2312"/>
          <w:sz w:val="32"/>
          <w:szCs w:val="32"/>
          <w:highlight w:val="none"/>
          <w:lang w:val="en-US" w:eastAsia="zh-CN"/>
        </w:rPr>
        <w:t>15</w:t>
      </w:r>
      <w:r>
        <w:rPr>
          <w:rFonts w:hint="eastAsia" w:eastAsia="仿宋_GB2312"/>
          <w:sz w:val="32"/>
          <w:szCs w:val="32"/>
          <w:highlight w:val="none"/>
        </w:rPr>
        <w:t>亿元</w:t>
      </w:r>
      <w:r>
        <w:rPr>
          <w:rFonts w:eastAsia="仿宋_GB2312"/>
          <w:sz w:val="32"/>
          <w:szCs w:val="32"/>
          <w:highlight w:val="none"/>
        </w:rPr>
        <w:t>，其他费用支出</w:t>
      </w:r>
      <w:r>
        <w:rPr>
          <w:rFonts w:hint="eastAsia" w:eastAsia="仿宋_GB2312"/>
          <w:sz w:val="32"/>
          <w:szCs w:val="32"/>
          <w:highlight w:val="none"/>
        </w:rPr>
        <w:t>0.01亿元</w:t>
      </w:r>
      <w:r>
        <w:rPr>
          <w:rFonts w:eastAsia="仿宋_GB2312"/>
          <w:sz w:val="32"/>
          <w:szCs w:val="32"/>
          <w:highlight w:val="none"/>
        </w:rPr>
        <w:t>，其他支出</w:t>
      </w:r>
      <w:r>
        <w:rPr>
          <w:rFonts w:hint="eastAsia" w:eastAsia="仿宋_GB2312"/>
          <w:sz w:val="32"/>
          <w:szCs w:val="32"/>
          <w:highlight w:val="none"/>
        </w:rPr>
        <w:t>0.1</w:t>
      </w:r>
      <w:r>
        <w:rPr>
          <w:rFonts w:hint="eastAsia" w:eastAsia="仿宋_GB2312"/>
          <w:sz w:val="32"/>
          <w:szCs w:val="32"/>
          <w:highlight w:val="none"/>
          <w:lang w:val="en-US" w:eastAsia="zh-CN"/>
        </w:rPr>
        <w:t>8</w:t>
      </w:r>
      <w:r>
        <w:rPr>
          <w:rFonts w:hint="eastAsia" w:eastAsia="仿宋_GB2312"/>
          <w:sz w:val="32"/>
          <w:szCs w:val="32"/>
          <w:highlight w:val="none"/>
        </w:rPr>
        <w:t>亿元</w:t>
      </w:r>
      <w:r>
        <w:rPr>
          <w:rFonts w:eastAsia="仿宋_GB2312"/>
          <w:sz w:val="32"/>
          <w:szCs w:val="32"/>
          <w:highlight w:val="none"/>
        </w:rPr>
        <w:t>，转移支出</w:t>
      </w:r>
      <w:r>
        <w:rPr>
          <w:rFonts w:hint="eastAsia" w:eastAsia="仿宋_GB2312"/>
          <w:sz w:val="32"/>
          <w:szCs w:val="32"/>
          <w:highlight w:val="none"/>
        </w:rPr>
        <w:t>0.0</w:t>
      </w:r>
      <w:r>
        <w:rPr>
          <w:rFonts w:hint="eastAsia" w:eastAsia="仿宋_GB2312"/>
          <w:sz w:val="32"/>
          <w:szCs w:val="32"/>
          <w:highlight w:val="none"/>
          <w:lang w:val="en-US" w:eastAsia="zh-CN"/>
        </w:rPr>
        <w:t>3</w:t>
      </w:r>
      <w:r>
        <w:rPr>
          <w:rFonts w:hint="eastAsia" w:eastAsia="仿宋_GB2312"/>
          <w:sz w:val="32"/>
          <w:szCs w:val="32"/>
          <w:highlight w:val="none"/>
        </w:rPr>
        <w:t>亿元</w:t>
      </w:r>
      <w:r>
        <w:rPr>
          <w:rFonts w:eastAsia="仿宋_GB2312"/>
          <w:sz w:val="32"/>
          <w:szCs w:val="32"/>
          <w:highlight w:val="none"/>
        </w:rPr>
        <w:t>，补助下级支出</w:t>
      </w:r>
      <w:r>
        <w:rPr>
          <w:rFonts w:hint="eastAsia" w:eastAsia="仿宋_GB2312"/>
          <w:sz w:val="32"/>
          <w:szCs w:val="32"/>
          <w:highlight w:val="none"/>
          <w:lang w:val="en-US" w:eastAsia="zh-CN"/>
        </w:rPr>
        <w:t>47.75</w:t>
      </w:r>
      <w:r>
        <w:rPr>
          <w:rFonts w:hint="eastAsia" w:eastAsia="仿宋_GB2312"/>
          <w:sz w:val="32"/>
          <w:szCs w:val="32"/>
          <w:highlight w:val="none"/>
        </w:rPr>
        <w:t>亿元</w:t>
      </w:r>
      <w:r>
        <w:rPr>
          <w:rFonts w:eastAsia="仿宋_GB2312"/>
          <w:sz w:val="32"/>
          <w:szCs w:val="32"/>
          <w:highlight w:val="none"/>
        </w:rPr>
        <w:t>。</w:t>
      </w:r>
      <w:r>
        <w:rPr>
          <w:rFonts w:hint="eastAsia" w:eastAsia="仿宋_GB2312"/>
          <w:sz w:val="32"/>
          <w:szCs w:val="32"/>
          <w:highlight w:val="none"/>
        </w:rPr>
        <w:t>完成支出预算的115.</w:t>
      </w:r>
      <w:r>
        <w:rPr>
          <w:rFonts w:hint="eastAsia" w:eastAsia="仿宋_GB2312"/>
          <w:sz w:val="32"/>
          <w:szCs w:val="32"/>
          <w:highlight w:val="none"/>
          <w:lang w:val="en-US" w:eastAsia="zh-CN"/>
        </w:rPr>
        <w:t>45</w:t>
      </w:r>
      <w:r>
        <w:rPr>
          <w:rFonts w:hint="eastAsia" w:eastAsia="仿宋_GB2312"/>
          <w:sz w:val="32"/>
          <w:szCs w:val="32"/>
          <w:highlight w:val="none"/>
        </w:rPr>
        <w:t>%。</w:t>
      </w:r>
    </w:p>
    <w:p w14:paraId="5AAE47E4">
      <w:pPr>
        <w:spacing w:line="592" w:lineRule="exact"/>
        <w:ind w:firstLine="640" w:firstLineChars="200"/>
        <w:rPr>
          <w:rFonts w:hint="eastAsia" w:eastAsia="仿宋_GB2312"/>
          <w:sz w:val="32"/>
          <w:szCs w:val="32"/>
          <w:highlight w:val="none"/>
          <w:lang w:val="en-US" w:eastAsia="zh-CN"/>
        </w:rPr>
      </w:pPr>
      <w:r>
        <w:rPr>
          <w:rFonts w:hint="eastAsia" w:eastAsia="仿宋_GB2312"/>
          <w:sz w:val="32"/>
          <w:szCs w:val="32"/>
          <w:highlight w:val="none"/>
        </w:rPr>
        <w:t>202</w:t>
      </w:r>
      <w:r>
        <w:rPr>
          <w:rFonts w:hint="eastAsia" w:eastAsia="仿宋_GB2312"/>
          <w:sz w:val="32"/>
          <w:szCs w:val="32"/>
          <w:highlight w:val="none"/>
          <w:lang w:val="en-US" w:eastAsia="zh-CN"/>
        </w:rPr>
        <w:t>5</w:t>
      </w:r>
      <w:r>
        <w:rPr>
          <w:rFonts w:hint="eastAsia" w:eastAsia="仿宋_GB2312"/>
          <w:sz w:val="32"/>
          <w:szCs w:val="32"/>
          <w:highlight w:val="none"/>
        </w:rPr>
        <w:t>年度收支结余</w:t>
      </w:r>
      <w:r>
        <w:rPr>
          <w:rFonts w:hint="eastAsia" w:eastAsia="仿宋_GB2312"/>
          <w:sz w:val="32"/>
          <w:szCs w:val="32"/>
          <w:highlight w:val="none"/>
          <w:lang w:val="en-US" w:eastAsia="zh-CN"/>
        </w:rPr>
        <w:t>-0.49</w:t>
      </w:r>
      <w:r>
        <w:rPr>
          <w:rFonts w:hint="eastAsia" w:eastAsia="仿宋_GB2312"/>
          <w:sz w:val="32"/>
          <w:szCs w:val="32"/>
          <w:highlight w:val="none"/>
        </w:rPr>
        <w:t>亿元，期初结余113.70亿元，期末滚存结余113.</w:t>
      </w:r>
      <w:r>
        <w:rPr>
          <w:rFonts w:hint="eastAsia" w:eastAsia="仿宋_GB2312"/>
          <w:sz w:val="32"/>
          <w:szCs w:val="32"/>
          <w:highlight w:val="none"/>
          <w:lang w:val="en-US" w:eastAsia="zh-CN"/>
        </w:rPr>
        <w:t>21</w:t>
      </w:r>
      <w:r>
        <w:rPr>
          <w:rFonts w:hint="eastAsia" w:eastAsia="仿宋_GB2312"/>
          <w:sz w:val="32"/>
          <w:szCs w:val="32"/>
          <w:highlight w:val="none"/>
        </w:rPr>
        <w:t>亿元。</w:t>
      </w:r>
    </w:p>
    <w:p w14:paraId="33F93697">
      <w:pPr>
        <w:pStyle w:val="2"/>
        <w:keepNext w:val="0"/>
        <w:keepLines w:val="0"/>
        <w:pageBreakBefore w:val="0"/>
        <w:widowControl w:val="0"/>
        <w:numPr>
          <w:ilvl w:val="0"/>
          <w:numId w:val="1"/>
        </w:numPr>
        <w:kinsoku/>
        <w:wordWrap/>
        <w:overflowPunct/>
        <w:topLinePunct w:val="0"/>
        <w:bidi w:val="0"/>
        <w:adjustRightInd/>
        <w:snapToGrid/>
        <w:spacing w:line="592" w:lineRule="exact"/>
        <w:ind w:firstLine="640"/>
        <w:textAlignment w:val="auto"/>
        <w:rPr>
          <w:rFonts w:eastAsia="黑体"/>
          <w:b w:val="0"/>
          <w:bCs w:val="0"/>
          <w:kern w:val="2"/>
          <w:sz w:val="32"/>
          <w:szCs w:val="24"/>
        </w:rPr>
      </w:pPr>
      <w:bookmarkStart w:id="45" w:name="_Toc195797077"/>
      <w:bookmarkStart w:id="46" w:name="_Toc167115821"/>
      <w:r>
        <w:rPr>
          <w:rFonts w:hint="eastAsia" w:eastAsia="黑体"/>
          <w:b w:val="0"/>
          <w:bCs w:val="0"/>
          <w:kern w:val="2"/>
          <w:sz w:val="32"/>
          <w:szCs w:val="24"/>
        </w:rPr>
        <w:t>部门整体支出绩效情况</w:t>
      </w:r>
      <w:bookmarkEnd w:id="45"/>
      <w:bookmarkEnd w:id="46"/>
    </w:p>
    <w:p w14:paraId="7AB01A0A">
      <w:pPr>
        <w:keepNext w:val="0"/>
        <w:keepLines w:val="0"/>
        <w:pageBreakBefore w:val="0"/>
        <w:widowControl w:val="0"/>
        <w:kinsoku/>
        <w:wordWrap/>
        <w:overflowPunct/>
        <w:topLinePunct w:val="0"/>
        <w:bidi w:val="0"/>
        <w:adjustRightInd/>
        <w:snapToGrid/>
        <w:spacing w:line="592" w:lineRule="exact"/>
        <w:ind w:firstLine="640" w:firstLineChars="200"/>
        <w:textAlignment w:val="auto"/>
        <w:outlineLvl w:val="1"/>
        <w:rPr>
          <w:rFonts w:eastAsia="楷体_GB2312"/>
          <w:b/>
          <w:bCs/>
          <w:sz w:val="32"/>
          <w:szCs w:val="24"/>
          <w:highlight w:val="none"/>
        </w:rPr>
      </w:pPr>
      <w:bookmarkStart w:id="47" w:name="_Toc136174947"/>
      <w:bookmarkStart w:id="48" w:name="_Toc195797078"/>
      <w:bookmarkStart w:id="49" w:name="_Toc42769255"/>
      <w:bookmarkStart w:id="50" w:name="_Toc167115822"/>
      <w:r>
        <w:rPr>
          <w:rFonts w:eastAsia="楷体_GB2312"/>
          <w:b/>
          <w:bCs/>
          <w:sz w:val="32"/>
          <w:szCs w:val="24"/>
          <w:highlight w:val="none"/>
        </w:rPr>
        <w:t>（一）部门职责履行情况分析</w:t>
      </w:r>
      <w:bookmarkEnd w:id="47"/>
      <w:bookmarkEnd w:id="48"/>
      <w:bookmarkEnd w:id="49"/>
      <w:bookmarkEnd w:id="50"/>
    </w:p>
    <w:p w14:paraId="3B047F58">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ascii="Times New Roman" w:hAnsi="Times New Roman" w:eastAsia="仿宋_GB2312"/>
          <w:sz w:val="32"/>
          <w:szCs w:val="32"/>
          <w:highlight w:val="none"/>
        </w:rPr>
      </w:pPr>
      <w:bookmarkStart w:id="51" w:name="_Toc195797081"/>
      <w:bookmarkStart w:id="52" w:name="_Toc167115824"/>
      <w:r>
        <w:rPr>
          <w:rFonts w:hint="eastAsia" w:ascii="Times New Roman" w:hAnsi="Times New Roman" w:eastAsia="仿宋_GB2312"/>
          <w:sz w:val="32"/>
          <w:szCs w:val="32"/>
          <w:highlight w:val="none"/>
        </w:rPr>
        <w:t>2025年是“十四五”规划收官之年，面对严峻复杂形势、多重困难挑战，全省人社系统在省委、省政府坚强领导下，以加强人力资源开发利用为主线，主动担当作为，奋力攻坚克难，扎实做好稳就业、强技能、促增收、防风险各项工作，圆满完成年度工作和“十四五”规划目标，为推动经济社会高质量发展、保障和改善民生、维护社会和谐稳定作出了积极贡献。主要工作成效如下：</w:t>
      </w:r>
    </w:p>
    <w:p w14:paraId="0D1BEE15">
      <w:pPr>
        <w:keepNext w:val="0"/>
        <w:keepLines w:val="0"/>
        <w:pageBreakBefore w:val="0"/>
        <w:widowControl w:val="0"/>
        <w:numPr>
          <w:ilvl w:val="0"/>
          <w:numId w:val="0"/>
        </w:numPr>
        <w:kinsoku/>
        <w:wordWrap/>
        <w:overflowPunct/>
        <w:topLinePunct w:val="0"/>
        <w:autoSpaceDE w:val="0"/>
        <w:autoSpaceDN w:val="0"/>
        <w:bidi w:val="0"/>
        <w:adjustRightInd/>
        <w:snapToGrid/>
        <w:spacing w:line="592" w:lineRule="exact"/>
        <w:ind w:left="0" w:leftChars="0" w:firstLine="640" w:firstLineChars="200"/>
        <w:textAlignment w:val="auto"/>
        <w:outlineLvl w:val="1"/>
        <w:rPr>
          <w:rFonts w:hint="eastAsia" w:ascii="Times New Roman" w:hAnsi="Times New Roman" w:eastAsia="仿宋_GB2312"/>
          <w:sz w:val="32"/>
          <w:szCs w:val="32"/>
          <w:highlight w:val="none"/>
        </w:rPr>
      </w:pPr>
      <w:r>
        <w:rPr>
          <w:rFonts w:hint="default" w:ascii="Times New Roman" w:hAnsi="Times New Roman" w:eastAsia="仿宋_GB2312" w:cs="仿宋"/>
          <w:b/>
          <w:bCs/>
          <w:sz w:val="32"/>
          <w:szCs w:val="32"/>
          <w:lang w:val="en-US" w:eastAsia="zh-CN" w:bidi="ar-SA"/>
        </w:rPr>
        <w:t>1.</w:t>
      </w:r>
      <w:r>
        <w:rPr>
          <w:rFonts w:hint="eastAsia" w:ascii="Times New Roman" w:hAnsi="Times New Roman" w:eastAsia="仿宋_GB2312" w:cs="仿宋"/>
          <w:b/>
          <w:bCs/>
          <w:sz w:val="32"/>
          <w:szCs w:val="32"/>
          <w:highlight w:val="none"/>
          <w:lang w:val="en-US" w:eastAsia="zh-CN" w:bidi="ar-SA"/>
        </w:rPr>
        <w:t>重大行动部</w:t>
      </w:r>
      <w:r>
        <w:rPr>
          <w:rFonts w:hint="eastAsia" w:ascii="Times New Roman" w:hAnsi="Times New Roman" w:eastAsia="仿宋_GB2312"/>
          <w:b/>
          <w:bCs/>
          <w:sz w:val="32"/>
          <w:szCs w:val="32"/>
          <w:highlight w:val="none"/>
        </w:rPr>
        <w:t>署全面落实。</w:t>
      </w:r>
      <w:r>
        <w:rPr>
          <w:rFonts w:hint="eastAsia" w:ascii="Times New Roman" w:hAnsi="Times New Roman" w:eastAsia="仿宋_GB2312"/>
          <w:sz w:val="32"/>
          <w:szCs w:val="32"/>
          <w:highlight w:val="none"/>
        </w:rPr>
        <w:t>始终把党中央、国务院和省委、省政府以及人社部决策部署作为年度工作的重中之重，持之以恒抓紧抓实。</w:t>
      </w:r>
      <w:r>
        <w:rPr>
          <w:rFonts w:hint="eastAsia" w:ascii="Times New Roman" w:hAnsi="Times New Roman" w:eastAsia="仿宋_GB2312"/>
          <w:b/>
          <w:bCs/>
          <w:sz w:val="32"/>
          <w:szCs w:val="32"/>
          <w:highlight w:val="none"/>
        </w:rPr>
        <w:t>推进“智汇潇湘 才聚湖南”系列行动成效显著。</w:t>
      </w:r>
      <w:r>
        <w:rPr>
          <w:rFonts w:hint="eastAsia" w:ascii="Times New Roman" w:hAnsi="Times New Roman" w:eastAsia="仿宋_GB2312"/>
          <w:sz w:val="32"/>
          <w:szCs w:val="32"/>
          <w:highlight w:val="none"/>
        </w:rPr>
        <w:t>实施青年就业创业支持计划，打好岗位、政策、招录组合拳，累计归集发布国有企业、民营企业、事业单位、选调生计划以及创业工位等30万个岗位，集成发布就业促进、项目支持、定向招录等6大类87条留湘来湘支持政策。省领导先后带队在长沙、上海、北京、西安等8个城市开展“智汇潇湘 才聚湖南”专场招聘活动，省内外超过480所高校、10.5万名学子参与。8337家参加线上线下招聘的用人单位，共吸纳2025和2026届（意向签约）毕业生42915人。</w:t>
      </w:r>
      <w:r>
        <w:rPr>
          <w:rFonts w:hint="eastAsia" w:ascii="Times New Roman" w:hAnsi="Times New Roman" w:eastAsia="仿宋_GB2312"/>
          <w:b/>
          <w:bCs/>
          <w:sz w:val="32"/>
          <w:szCs w:val="32"/>
          <w:highlight w:val="none"/>
        </w:rPr>
        <w:t>落实支持大学生创业“七个一”行动成效显著。</w:t>
      </w:r>
      <w:r>
        <w:rPr>
          <w:rFonts w:hint="eastAsia" w:ascii="Times New Roman" w:hAnsi="Times New Roman" w:eastAsia="仿宋_GB2312"/>
          <w:sz w:val="32"/>
          <w:szCs w:val="32"/>
          <w:highlight w:val="none"/>
        </w:rPr>
        <w:t>推动出台《湖南省创业培训管理办法》，开展创业培训15.47万人次。迭代升级创业担保贷款扩围、提额、降门槛政策，2025年新增发放创业担保贷款71.71亿元，扶持1.58万人创业。上线“创业在湘”公共服务平台，构建“7个找+3地图”服务体系。推动出台省级大学生创业孵化基地认定办法、支持大学生创业孵化基地建设若干政策措施，建成创业孵化基地423家，在孵大学生创业项目比年初增加一倍。</w:t>
      </w:r>
      <w:r>
        <w:rPr>
          <w:rFonts w:hint="eastAsia" w:ascii="Times New Roman" w:hAnsi="Times New Roman" w:eastAsia="仿宋_GB2312"/>
          <w:b/>
          <w:bCs/>
          <w:sz w:val="32"/>
          <w:szCs w:val="32"/>
          <w:highlight w:val="none"/>
        </w:rPr>
        <w:t>促进农村劳动力转移就业成效显著。</w:t>
      </w:r>
      <w:r>
        <w:rPr>
          <w:rFonts w:hint="eastAsia" w:ascii="Times New Roman" w:hAnsi="Times New Roman" w:eastAsia="仿宋_GB2312"/>
          <w:sz w:val="32"/>
          <w:szCs w:val="32"/>
          <w:highlight w:val="none"/>
        </w:rPr>
        <w:t>持续深化劳务协作机制，加大农村劳动力有组织输出力度。制定实施巩固壮大就业帮扶车间促进就近就业10条措施，构建支持乡村车间发展“3441”工作体系，全省建成乡村车间7121家，较2024年底增长6.22%；吸纳就业36.37万人，其中吸纳脱贫人口就业7.3万人，较2024年底增长9.94%。全省农村劳动力转移就业总规模达1697.7万人。支持龙头企业、各类职业培训机构、行业协会、人力资源服务机构等市场主体参与劳务品牌培育工作，全省打造湖湘特色劳务品牌269个，劳务品牌关联企业累计带动就业超400万人，较2024年增长28.2%。</w:t>
      </w:r>
      <w:r>
        <w:rPr>
          <w:rFonts w:hint="eastAsia" w:ascii="Times New Roman" w:hAnsi="Times New Roman" w:eastAsia="仿宋_GB2312"/>
          <w:b/>
          <w:bCs/>
          <w:sz w:val="32"/>
          <w:szCs w:val="32"/>
          <w:highlight w:val="none"/>
        </w:rPr>
        <w:t>开展职业技能培训成效显著。</w:t>
      </w:r>
      <w:r>
        <w:rPr>
          <w:rFonts w:hint="eastAsia" w:ascii="Times New Roman" w:hAnsi="Times New Roman" w:eastAsia="仿宋_GB2312"/>
          <w:sz w:val="32"/>
          <w:szCs w:val="32"/>
          <w:highlight w:val="none"/>
        </w:rPr>
        <w:t>全省开展各类职业技能培训96.8万人次，其中补贴性职业技能培训36万人次、超额完成年度目标任务。4.58万人次取得高级工以上技能等级证书。成功举办全省第二届职业技能大赛，参加全国第三届职业技能大赛获得1金、4铜、45优胜奖。</w:t>
      </w:r>
    </w:p>
    <w:p w14:paraId="4268DE05">
      <w:pPr>
        <w:keepNext w:val="0"/>
        <w:keepLines w:val="0"/>
        <w:pageBreakBefore w:val="0"/>
        <w:widowControl w:val="0"/>
        <w:numPr>
          <w:ilvl w:val="0"/>
          <w:numId w:val="0"/>
        </w:numPr>
        <w:kinsoku/>
        <w:wordWrap/>
        <w:overflowPunct/>
        <w:topLinePunct w:val="0"/>
        <w:autoSpaceDE w:val="0"/>
        <w:autoSpaceDN w:val="0"/>
        <w:bidi w:val="0"/>
        <w:adjustRightInd/>
        <w:snapToGrid/>
        <w:spacing w:line="592" w:lineRule="exact"/>
        <w:ind w:left="0" w:leftChars="0" w:firstLine="640" w:firstLineChars="200"/>
        <w:textAlignment w:val="auto"/>
        <w:outlineLvl w:val="1"/>
        <w:rPr>
          <w:rFonts w:hint="eastAsia" w:ascii="Times New Roman" w:hAnsi="Times New Roman" w:eastAsia="仿宋_GB2312"/>
          <w:sz w:val="32"/>
          <w:szCs w:val="32"/>
          <w:highlight w:val="none"/>
        </w:rPr>
      </w:pPr>
      <w:r>
        <w:rPr>
          <w:rFonts w:hint="eastAsia" w:ascii="Times New Roman" w:hAnsi="Times New Roman" w:eastAsia="仿宋_GB2312" w:cs="仿宋"/>
          <w:b/>
          <w:bCs/>
          <w:sz w:val="32"/>
          <w:szCs w:val="32"/>
          <w:highlight w:val="none"/>
          <w:lang w:val="en-US" w:eastAsia="zh-CN" w:bidi="ar-SA"/>
        </w:rPr>
        <w:t>2</w:t>
      </w:r>
      <w:r>
        <w:rPr>
          <w:rFonts w:hint="default" w:ascii="Times New Roman" w:hAnsi="Times New Roman" w:eastAsia="仿宋_GB2312" w:cs="仿宋"/>
          <w:b/>
          <w:bCs/>
          <w:sz w:val="32"/>
          <w:szCs w:val="32"/>
          <w:highlight w:val="none"/>
          <w:lang w:val="en-US" w:eastAsia="zh-CN" w:bidi="ar-SA"/>
        </w:rPr>
        <w:t>.</w:t>
      </w:r>
      <w:r>
        <w:rPr>
          <w:rFonts w:hint="eastAsia" w:ascii="Times New Roman" w:hAnsi="Times New Roman" w:eastAsia="仿宋_GB2312"/>
          <w:b/>
          <w:bCs/>
          <w:sz w:val="32"/>
          <w:szCs w:val="32"/>
          <w:highlight w:val="none"/>
        </w:rPr>
        <w:t>重点工作任务全面完成</w:t>
      </w:r>
      <w:r>
        <w:rPr>
          <w:rFonts w:hint="eastAsia" w:ascii="Times New Roman" w:hAnsi="Times New Roman" w:eastAsia="仿宋_GB2312"/>
          <w:sz w:val="32"/>
          <w:szCs w:val="32"/>
          <w:highlight w:val="none"/>
        </w:rPr>
        <w:t>。紧紧围绕人社主责主业，不断完善工作机制、规范工作运行、提升工作质效。</w:t>
      </w:r>
      <w:r>
        <w:rPr>
          <w:rFonts w:hint="eastAsia" w:ascii="Times New Roman" w:hAnsi="Times New Roman" w:eastAsia="仿宋_GB2312"/>
          <w:b/>
          <w:bCs/>
          <w:sz w:val="32"/>
          <w:szCs w:val="32"/>
          <w:highlight w:val="none"/>
        </w:rPr>
        <w:t>就业基本盘平稳向好。</w:t>
      </w:r>
      <w:r>
        <w:rPr>
          <w:rFonts w:hint="eastAsia" w:ascii="Times New Roman" w:hAnsi="Times New Roman" w:eastAsia="仿宋_GB2312"/>
          <w:sz w:val="32"/>
          <w:szCs w:val="32"/>
          <w:highlight w:val="none"/>
        </w:rPr>
        <w:t>全省城镇新增就业82.68万人，完成年度任务的118.1%。城镇调查失业率均值5.3%，低于预期控制目标；脱贫人口（含监测对象）务工规模达252万人，完成目标任务的108.39%。积极构建就业友好型发展方式，以省委省政府名义出台促进高质量充分就业27条政策措施，“优才来湘”“湘才留湘”“就创先锋进校园”等行动成效显著。社会保险体系平稳运行。深入实施全民参保计划，积极推进重点群体参保，全省基本养老保险、工伤保险、失业保险参保人数分别达到5299.83万人、993.39万人、757.18万人，基本养老保险覆盖率超过95%。基本养老保险待遇水平稳步提高，全省城乡居民基础养老金最低标准提高25元。</w:t>
      </w:r>
      <w:r>
        <w:rPr>
          <w:rFonts w:hint="eastAsia" w:ascii="Times New Roman" w:hAnsi="Times New Roman" w:eastAsia="仿宋_GB2312"/>
          <w:b/>
          <w:bCs/>
          <w:sz w:val="32"/>
          <w:szCs w:val="32"/>
          <w:highlight w:val="none"/>
        </w:rPr>
        <w:t>劳动人事争议处理平稳和谐。</w:t>
      </w:r>
      <w:r>
        <w:rPr>
          <w:rFonts w:hint="eastAsia" w:ascii="Times New Roman" w:hAnsi="Times New Roman" w:eastAsia="仿宋_GB2312"/>
          <w:sz w:val="32"/>
          <w:szCs w:val="32"/>
          <w:highlight w:val="none"/>
        </w:rPr>
        <w:t>构建联合调解工作模式，推进“人社＋工会”调解室建设，常态落实每两月一次人社系统厅局长集中接访。全省劳动人事争议调解组织和仲裁机构受理案件64578件，结案率98.41%，调解成功率81.08%。将治理欠薪工作纳入市州社会保障考核、省政府大抓落实督查激励和省政府年度综合督查。全年接收国家欠薪平台反馈的线索6.7万条，按期办结率保持100%；查处欠薪案件1.02万件，为9.55万名劳动者追发工资待遇8.92亿元。</w:t>
      </w:r>
      <w:r>
        <w:rPr>
          <w:rFonts w:hint="eastAsia" w:ascii="Times New Roman" w:hAnsi="Times New Roman" w:eastAsia="仿宋_GB2312"/>
          <w:b/>
          <w:bCs/>
          <w:sz w:val="32"/>
          <w:szCs w:val="32"/>
          <w:highlight w:val="none"/>
        </w:rPr>
        <w:t>安全管理防线平稳有力。</w:t>
      </w:r>
      <w:r>
        <w:rPr>
          <w:rFonts w:hint="eastAsia" w:ascii="Times New Roman" w:hAnsi="Times New Roman" w:eastAsia="仿宋_GB2312"/>
          <w:sz w:val="32"/>
          <w:szCs w:val="32"/>
          <w:highlight w:val="none"/>
        </w:rPr>
        <w:t>加强社保基金监管，严格落实网上巡查、数据共享比对等巡查制度，社保政策、经办、信息、监督同向发力，进一步畅通12333、网络等监督举报渠道，持续加强与财政、税务、审计、纪检监察、公安等部门的工作联动，开展全省社会保险基金管理“全视角防风险”专项行动，共清缴追回被骗取套取资金1614.5万元。完善人社部门权责清单、行政执法事项目录清单等4张清单，确保依法行政源头合法。省本级办理行政复议答复、行政应诉案件保持“零”撤销、“零”败诉。</w:t>
      </w:r>
    </w:p>
    <w:p w14:paraId="636A7AED">
      <w:pPr>
        <w:keepNext w:val="0"/>
        <w:keepLines w:val="0"/>
        <w:pageBreakBefore w:val="0"/>
        <w:widowControl w:val="0"/>
        <w:numPr>
          <w:ilvl w:val="0"/>
          <w:numId w:val="0"/>
        </w:numPr>
        <w:kinsoku/>
        <w:wordWrap/>
        <w:overflowPunct/>
        <w:topLinePunct w:val="0"/>
        <w:autoSpaceDE w:val="0"/>
        <w:autoSpaceDN w:val="0"/>
        <w:bidi w:val="0"/>
        <w:adjustRightInd/>
        <w:snapToGrid/>
        <w:spacing w:line="592" w:lineRule="exact"/>
        <w:ind w:left="0" w:leftChars="0" w:firstLine="640" w:firstLineChars="200"/>
        <w:textAlignment w:val="auto"/>
        <w:outlineLvl w:val="1"/>
        <w:rPr>
          <w:rFonts w:hint="eastAsia" w:ascii="Times New Roman" w:hAnsi="Times New Roman" w:eastAsia="仿宋_GB2312"/>
          <w:sz w:val="32"/>
          <w:szCs w:val="32"/>
          <w:highlight w:val="none"/>
        </w:rPr>
      </w:pPr>
      <w:r>
        <w:rPr>
          <w:rFonts w:hint="eastAsia" w:ascii="Times New Roman" w:hAnsi="Times New Roman" w:eastAsia="仿宋_GB2312" w:cs="仿宋"/>
          <w:b/>
          <w:bCs/>
          <w:sz w:val="32"/>
          <w:szCs w:val="32"/>
          <w:highlight w:val="none"/>
          <w:lang w:val="en-US" w:eastAsia="zh-CN" w:bidi="ar-SA"/>
        </w:rPr>
        <w:t>3</w:t>
      </w:r>
      <w:r>
        <w:rPr>
          <w:rFonts w:hint="default" w:ascii="Times New Roman" w:hAnsi="Times New Roman" w:eastAsia="仿宋_GB2312" w:cs="仿宋"/>
          <w:b/>
          <w:bCs/>
          <w:sz w:val="32"/>
          <w:szCs w:val="32"/>
          <w:highlight w:val="none"/>
          <w:lang w:val="en-US" w:eastAsia="zh-CN" w:bidi="ar-SA"/>
        </w:rPr>
        <w:t>.</w:t>
      </w:r>
      <w:r>
        <w:rPr>
          <w:rFonts w:hint="eastAsia" w:ascii="Times New Roman" w:hAnsi="Times New Roman" w:eastAsia="仿宋_GB2312"/>
          <w:b/>
          <w:bCs/>
          <w:sz w:val="32"/>
          <w:szCs w:val="32"/>
          <w:highlight w:val="none"/>
        </w:rPr>
        <w:t>重要领域改革全面推进。</w:t>
      </w:r>
      <w:r>
        <w:rPr>
          <w:rFonts w:hint="eastAsia" w:ascii="Times New Roman" w:hAnsi="Times New Roman" w:eastAsia="仿宋_GB2312"/>
          <w:sz w:val="32"/>
          <w:szCs w:val="32"/>
          <w:highlight w:val="none"/>
        </w:rPr>
        <w:t>细化路径、实化举措，推动各项改革任务落实落地。</w:t>
      </w:r>
      <w:r>
        <w:rPr>
          <w:rFonts w:hint="eastAsia" w:ascii="Times New Roman" w:hAnsi="Times New Roman" w:eastAsia="仿宋_GB2312"/>
          <w:b/>
          <w:bCs/>
          <w:sz w:val="32"/>
          <w:szCs w:val="32"/>
          <w:highlight w:val="none"/>
        </w:rPr>
        <w:t>深入推进就业一致性评价机制改革。</w:t>
      </w:r>
      <w:r>
        <w:rPr>
          <w:rFonts w:hint="eastAsia" w:ascii="Times New Roman" w:hAnsi="Times New Roman" w:eastAsia="仿宋_GB2312"/>
          <w:sz w:val="32"/>
          <w:szCs w:val="32"/>
          <w:highlight w:val="none"/>
        </w:rPr>
        <w:t>持续深化就业政策一致性评价，在重大政策制定、重大项目确定、重大生产力布局时同步开展岗位创造、失业风险评估，推动经济政策与就业政策协同发力。目前已累计评价606个与就业直接相关的事项，对12个可能导致失业风险的事项提醒制定应急预案，有关做法受到国务院就业促进和劳动保护工作领导小组推介。按月归集发布政府投资、招商引资、产业建设、文化旅游等重大项目岗位需求信息，同步通过专场招聘、线上匹配等方式促进供需对接，实现产业发展与就业促进有效联动，全省累计归集重大项目岗位6.9万个。</w:t>
      </w:r>
      <w:r>
        <w:rPr>
          <w:rFonts w:hint="eastAsia" w:ascii="Times New Roman" w:hAnsi="Times New Roman" w:eastAsia="仿宋_GB2312"/>
          <w:b/>
          <w:bCs/>
          <w:sz w:val="32"/>
          <w:szCs w:val="32"/>
          <w:highlight w:val="none"/>
        </w:rPr>
        <w:t>深入推进社保领域重大改革。</w:t>
      </w:r>
      <w:r>
        <w:rPr>
          <w:rFonts w:hint="eastAsia" w:ascii="Times New Roman" w:hAnsi="Times New Roman" w:eastAsia="仿宋_GB2312"/>
          <w:sz w:val="32"/>
          <w:szCs w:val="32"/>
          <w:highlight w:val="none"/>
        </w:rPr>
        <w:t>稳妥实施渐进式延迟法定退休年龄改革，全年企业职工养老保险退休办理人数23.34万人。企业职工养老保险全国统筹稳步推进，病残津贴制度落地实施，个人养老金制度全省推开，新职伤试点扩围有序进行。同时，加强基金预算管理，健全地方财政投入长效机制，稳妥开展基本养老保险基金投资运营，较好地实现了基金的保值增值。</w:t>
      </w:r>
      <w:r>
        <w:rPr>
          <w:rFonts w:hint="eastAsia" w:ascii="Times New Roman" w:hAnsi="Times New Roman" w:eastAsia="仿宋_GB2312"/>
          <w:b/>
          <w:bCs/>
          <w:sz w:val="32"/>
          <w:szCs w:val="32"/>
          <w:highlight w:val="none"/>
        </w:rPr>
        <w:t>深入推进工资收入分配改革。</w:t>
      </w:r>
      <w:r>
        <w:rPr>
          <w:rFonts w:hint="eastAsia" w:ascii="Times New Roman" w:hAnsi="Times New Roman" w:eastAsia="仿宋_GB2312"/>
          <w:sz w:val="32"/>
          <w:szCs w:val="32"/>
          <w:highlight w:val="none"/>
        </w:rPr>
        <w:t>出台《湖南省省属公立医院薪酬制度实施办法》，在全省14个市州18个产业园区展开绩效薪酬试点，建立文化文物事业单位绩效工资总量与文创开发业绩挂钩的核定机制。稳步推动国企薪酬制度改革，建立“横向到边、纵向到底”的薪酬分配穿透式监管体系。加强企业工资宏观调控，及时发布我省2025年企业工资指导线，将我省月最低工资标准档次提高到2200元/月、2000元/月、1800元/月。</w:t>
      </w:r>
      <w:r>
        <w:rPr>
          <w:rFonts w:hint="eastAsia" w:ascii="Times New Roman" w:hAnsi="Times New Roman" w:eastAsia="仿宋_GB2312"/>
          <w:b/>
          <w:bCs/>
          <w:sz w:val="32"/>
          <w:szCs w:val="32"/>
          <w:highlight w:val="none"/>
        </w:rPr>
        <w:t>深入推进事业单位人事管理改革。</w:t>
      </w:r>
      <w:r>
        <w:rPr>
          <w:rFonts w:hint="eastAsia" w:ascii="Times New Roman" w:hAnsi="Times New Roman" w:eastAsia="仿宋_GB2312"/>
          <w:sz w:val="32"/>
          <w:szCs w:val="32"/>
          <w:highlight w:val="none"/>
        </w:rPr>
        <w:t>全省发布事业单位公开招聘计划2.77万个、实际招聘1.84万人。省直事业单位通用性岗位公开招聘首次实现统一集中联考。创新实施直通招聘、联合招聘、项目招聘、适岗招聘等多元招聘机制，优化引才方式、拓展聚才路径。上线“湖南省事业单位工作人员培训监督服务平台”，建立协同联控监管体系和培训机构自律机制，全省逾130万人次在该平台参加线上培训。培训工作经验被《中国组织人事报》、人民网等官方媒体推介。</w:t>
      </w:r>
    </w:p>
    <w:p w14:paraId="55D17695">
      <w:pPr>
        <w:keepNext w:val="0"/>
        <w:keepLines w:val="0"/>
        <w:pageBreakBefore w:val="0"/>
        <w:widowControl w:val="0"/>
        <w:numPr>
          <w:ilvl w:val="0"/>
          <w:numId w:val="0"/>
        </w:numPr>
        <w:kinsoku/>
        <w:wordWrap/>
        <w:overflowPunct/>
        <w:topLinePunct w:val="0"/>
        <w:autoSpaceDE w:val="0"/>
        <w:autoSpaceDN w:val="0"/>
        <w:bidi w:val="0"/>
        <w:adjustRightInd/>
        <w:snapToGrid/>
        <w:spacing w:line="592" w:lineRule="exact"/>
        <w:ind w:left="0" w:leftChars="0" w:firstLine="640" w:firstLineChars="200"/>
        <w:textAlignment w:val="auto"/>
        <w:outlineLvl w:val="1"/>
        <w:rPr>
          <w:rFonts w:hint="eastAsia" w:ascii="Times New Roman" w:hAnsi="Times New Roman" w:eastAsia="仿宋_GB2312"/>
          <w:sz w:val="32"/>
          <w:szCs w:val="32"/>
          <w:highlight w:val="none"/>
        </w:rPr>
      </w:pPr>
      <w:r>
        <w:rPr>
          <w:rFonts w:hint="eastAsia" w:ascii="Times New Roman" w:hAnsi="Times New Roman" w:eastAsia="仿宋_GB2312" w:cs="仿宋"/>
          <w:b/>
          <w:bCs/>
          <w:sz w:val="32"/>
          <w:szCs w:val="32"/>
          <w:highlight w:val="none"/>
          <w:lang w:val="en-US" w:eastAsia="zh-CN" w:bidi="ar-SA"/>
        </w:rPr>
        <w:t>4</w:t>
      </w:r>
      <w:r>
        <w:rPr>
          <w:rFonts w:hint="default" w:ascii="Times New Roman" w:hAnsi="Times New Roman" w:eastAsia="仿宋_GB2312" w:cs="仿宋"/>
          <w:b/>
          <w:bCs/>
          <w:sz w:val="32"/>
          <w:szCs w:val="32"/>
          <w:highlight w:val="none"/>
          <w:lang w:val="en-US" w:eastAsia="zh-CN" w:bidi="ar-SA"/>
        </w:rPr>
        <w:t>.</w:t>
      </w:r>
      <w:r>
        <w:rPr>
          <w:rFonts w:hint="eastAsia" w:ascii="Times New Roman" w:hAnsi="Times New Roman" w:eastAsia="仿宋_GB2312"/>
          <w:b/>
          <w:bCs/>
          <w:sz w:val="32"/>
          <w:szCs w:val="32"/>
          <w:highlight w:val="none"/>
        </w:rPr>
        <w:t>民生工作品牌全面擦亮。</w:t>
      </w:r>
      <w:r>
        <w:rPr>
          <w:rFonts w:hint="eastAsia" w:ascii="Times New Roman" w:hAnsi="Times New Roman" w:eastAsia="仿宋_GB2312"/>
          <w:sz w:val="32"/>
          <w:szCs w:val="32"/>
          <w:highlight w:val="none"/>
        </w:rPr>
        <w:t>聚焦发展大局和民生关切，持续打造特色工作品牌。</w:t>
      </w:r>
      <w:r>
        <w:rPr>
          <w:rFonts w:hint="eastAsia" w:ascii="Times New Roman" w:hAnsi="Times New Roman" w:eastAsia="仿宋_GB2312"/>
          <w:b/>
          <w:bCs/>
          <w:sz w:val="32"/>
          <w:szCs w:val="32"/>
          <w:highlight w:val="none"/>
        </w:rPr>
        <w:t>重点民生实事展现新成效。</w:t>
      </w:r>
      <w:r>
        <w:rPr>
          <w:rFonts w:hint="eastAsia" w:ascii="Times New Roman" w:hAnsi="Times New Roman" w:eastAsia="仿宋_GB2312"/>
          <w:sz w:val="32"/>
          <w:szCs w:val="32"/>
          <w:highlight w:val="none"/>
        </w:rPr>
        <w:t>扎实推进省政府民生补短提质攻坚，2025年全省十大重点民生实事24个具体项目全面完成，解决了一批群众身边急难愁盼的事。依托任务、政策、投资、责任“四张清单”实施精细化管理，全面深化“一码一平台”应用，实现项目任务在线交办、进展实时追踪、风险智能预警。依托“民生实事码上通”等载体广泛听取民意，累计处理群众建议近80万条。相关工作多次受到省委、省政府主要领导和社会各界的高度肯定。</w:t>
      </w:r>
      <w:r>
        <w:rPr>
          <w:rFonts w:hint="eastAsia" w:ascii="Times New Roman" w:hAnsi="Times New Roman" w:eastAsia="仿宋_GB2312"/>
          <w:b/>
          <w:bCs/>
          <w:sz w:val="32"/>
          <w:szCs w:val="32"/>
          <w:highlight w:val="none"/>
        </w:rPr>
        <w:t>社保互联互通迈出新步伐。</w:t>
      </w:r>
      <w:r>
        <w:rPr>
          <w:rFonts w:hint="eastAsia" w:ascii="Times New Roman" w:hAnsi="Times New Roman" w:eastAsia="仿宋_GB2312"/>
          <w:sz w:val="32"/>
          <w:szCs w:val="32"/>
          <w:highlight w:val="none"/>
        </w:rPr>
        <w:t>举行“中部六省+广东省”社保互联互通签约仪式，七省梳理编制九大类互联互通事项清单，拓展线上专区、线下专窗、部平台及社保卡“一卡通”等四个互联通道，全面推动政策互认、经办互联、数据互享、载体互通、监管互动。工伤保险跨省和省内异地就医直接结算全面启动。企业养老保险跨省转移业务办结时限从15个工作日压至5个工作日，跨省转移接续原型试点经验获人社部充分肯定，并在全国座谈会上作典型发言。湘鄂社保互联互通被人民日报内参以及中央和省主流媒体予以关注报道。</w:t>
      </w:r>
      <w:r>
        <w:rPr>
          <w:rFonts w:hint="eastAsia" w:ascii="Times New Roman" w:hAnsi="Times New Roman" w:eastAsia="仿宋_GB2312"/>
          <w:b/>
          <w:bCs/>
          <w:sz w:val="32"/>
          <w:szCs w:val="32"/>
          <w:highlight w:val="none"/>
        </w:rPr>
        <w:t>人才人事管理打造新亮点。</w:t>
      </w:r>
      <w:r>
        <w:rPr>
          <w:rFonts w:hint="eastAsia" w:ascii="Times New Roman" w:hAnsi="Times New Roman" w:eastAsia="仿宋_GB2312"/>
          <w:sz w:val="32"/>
          <w:szCs w:val="32"/>
          <w:highlight w:val="none"/>
        </w:rPr>
        <w:t>完善职称评价制度，强化职称评审监管，新增高级职称3.6万人，专业技术职业资格18.05万人。率先建立卓越工程师带培工作室制度。依托数字文化专业人才开展专场招聘、专场培训、专场职称评审，“一产一策”评审模式在全国得到推广。中国博士后科学基金会与湖南省联合资助博士后项目获人社部批准设立。全省博士后科研站点达到383家，在站人数3263人。组建高级人才寻访联盟，揭牌运营湖南省数字文化专业人才市场，成功举办第二届人力资源服务业发展大会。全年组织各类人事考试55项、服务87万人，为历年最高。扎实推进专武干部培训，取得明显成效。</w:t>
      </w:r>
    </w:p>
    <w:p w14:paraId="2DE01BA0">
      <w:pPr>
        <w:keepNext w:val="0"/>
        <w:keepLines w:val="0"/>
        <w:pageBreakBefore w:val="0"/>
        <w:widowControl w:val="0"/>
        <w:numPr>
          <w:ilvl w:val="0"/>
          <w:numId w:val="0"/>
        </w:numPr>
        <w:kinsoku/>
        <w:wordWrap/>
        <w:overflowPunct/>
        <w:topLinePunct w:val="0"/>
        <w:autoSpaceDE w:val="0"/>
        <w:autoSpaceDN w:val="0"/>
        <w:bidi w:val="0"/>
        <w:adjustRightInd/>
        <w:snapToGrid/>
        <w:spacing w:line="592" w:lineRule="exact"/>
        <w:ind w:left="0" w:leftChars="0" w:firstLine="640" w:firstLineChars="200"/>
        <w:textAlignment w:val="auto"/>
        <w:outlineLvl w:val="1"/>
        <w:rPr>
          <w:rFonts w:ascii="Times New Roman" w:hAnsi="Times New Roman" w:eastAsia="仿宋_GB2312"/>
          <w:sz w:val="32"/>
          <w:szCs w:val="32"/>
          <w:highlight w:val="none"/>
        </w:rPr>
      </w:pPr>
      <w:r>
        <w:rPr>
          <w:rFonts w:hint="eastAsia" w:ascii="Times New Roman" w:hAnsi="Times New Roman" w:eastAsia="仿宋_GB2312" w:cs="仿宋"/>
          <w:b/>
          <w:bCs/>
          <w:sz w:val="32"/>
          <w:szCs w:val="32"/>
          <w:highlight w:val="none"/>
          <w:lang w:val="en-US" w:eastAsia="zh-CN" w:bidi="ar-SA"/>
        </w:rPr>
        <w:t>5</w:t>
      </w:r>
      <w:r>
        <w:rPr>
          <w:rFonts w:hint="default" w:ascii="Times New Roman" w:hAnsi="Times New Roman" w:eastAsia="仿宋_GB2312" w:cs="仿宋"/>
          <w:b/>
          <w:bCs/>
          <w:sz w:val="32"/>
          <w:szCs w:val="32"/>
          <w:highlight w:val="none"/>
          <w:lang w:val="en-US" w:eastAsia="zh-CN" w:bidi="ar-SA"/>
        </w:rPr>
        <w:t>.</w:t>
      </w:r>
      <w:r>
        <w:rPr>
          <w:rFonts w:hint="eastAsia" w:ascii="Times New Roman" w:hAnsi="Times New Roman" w:eastAsia="仿宋_GB2312"/>
          <w:b/>
          <w:bCs/>
          <w:sz w:val="32"/>
          <w:szCs w:val="32"/>
          <w:highlight w:val="none"/>
        </w:rPr>
        <w:t>人社服务能力全面提升。</w:t>
      </w:r>
      <w:r>
        <w:rPr>
          <w:rFonts w:hint="eastAsia" w:ascii="Times New Roman" w:hAnsi="Times New Roman" w:eastAsia="仿宋_GB2312"/>
          <w:sz w:val="32"/>
          <w:szCs w:val="32"/>
          <w:highlight w:val="none"/>
        </w:rPr>
        <w:t>始终坚守为民初心，以优质高效服务回应群众关切，加快惠企便民政策便捷直达。</w:t>
      </w:r>
      <w:r>
        <w:rPr>
          <w:rFonts w:hint="eastAsia" w:ascii="Times New Roman" w:hAnsi="Times New Roman" w:eastAsia="仿宋_GB2312"/>
          <w:b/>
          <w:bCs/>
          <w:sz w:val="32"/>
          <w:szCs w:val="32"/>
          <w:highlight w:val="none"/>
        </w:rPr>
        <w:t>就业服务打通“最后一公里”。</w:t>
      </w:r>
      <w:r>
        <w:rPr>
          <w:rFonts w:hint="eastAsia" w:ascii="Times New Roman" w:hAnsi="Times New Roman" w:eastAsia="仿宋_GB2312"/>
          <w:sz w:val="32"/>
          <w:szCs w:val="32"/>
          <w:highlight w:val="none"/>
        </w:rPr>
        <w:t>完善“湘就业”平台功能，平台累计入驻企业16.84万家、发布岗位89.57万个，招聘人数419.91万人。累计建设各类零工市场471家，线下线上零工市场共发布88.11万条、271.39万人次岗位信息。持续擦亮“湘人才”公共招聘品牌，用好“湘乐聘”线上招聘服务平台，省本级共开展直播带岗100场，湖南人社抖音号浏览量近331.5万人次。</w:t>
      </w:r>
      <w:r>
        <w:rPr>
          <w:rFonts w:hint="eastAsia" w:ascii="Times New Roman" w:hAnsi="Times New Roman" w:eastAsia="仿宋_GB2312"/>
          <w:b/>
          <w:bCs/>
          <w:sz w:val="32"/>
          <w:szCs w:val="32"/>
          <w:highlight w:val="none"/>
        </w:rPr>
        <w:t>“高效办成一件事”实现流程再升级。</w:t>
      </w:r>
      <w:r>
        <w:rPr>
          <w:rFonts w:hint="eastAsia" w:ascii="Times New Roman" w:hAnsi="Times New Roman" w:eastAsia="仿宋_GB2312"/>
          <w:sz w:val="32"/>
          <w:szCs w:val="32"/>
          <w:highlight w:val="none"/>
        </w:rPr>
        <w:t>推动高效办成个人创业“一件事”，实现经营主体登记注册等8个高频事项一次提交、一站办理，办理时限压缩44%。推动高效办成登记失业人员就业帮扶“一件事”，开展员工录用“一件事”改革，办理时限由最多79个工作日压至7个工作日，入选国务院2025年“高效办成一件事”典型案例。推动社保经办业务流程再造和智能化升级，开发上线缴费和待遇测算小程序、智能客服。</w:t>
      </w:r>
      <w:r>
        <w:rPr>
          <w:rFonts w:hint="eastAsia" w:ascii="Times New Roman" w:hAnsi="Times New Roman" w:eastAsia="仿宋_GB2312"/>
          <w:b/>
          <w:bCs/>
          <w:sz w:val="32"/>
          <w:szCs w:val="32"/>
          <w:highlight w:val="none"/>
        </w:rPr>
        <w:t>数字人社拓展更多应用场景。</w:t>
      </w:r>
      <w:r>
        <w:rPr>
          <w:rFonts w:hint="eastAsia" w:ascii="Times New Roman" w:hAnsi="Times New Roman" w:eastAsia="仿宋_GB2312"/>
          <w:sz w:val="32"/>
          <w:szCs w:val="32"/>
          <w:highlight w:val="none"/>
        </w:rPr>
        <w:t>持续打造“一中心”“六平台”，加快构建“一卡”（社保卡）“一网”（政务服务专网）“一库”（基础数据库）“三端”（PC端、移动端、自助端）“三微”（智慧人社、湖南人社、湘就业）的人社经办管理服务模式，形成全数据共享、全系统协同、全服务上网、全层级贯通、全业务用卡的“五全”应用格局。“智慧人社”及“湘就业”注册人数超过3880万；全省人社部门线上办理业务5100万件，占总办件量的58%。</w:t>
      </w:r>
    </w:p>
    <w:p w14:paraId="4C27BFA1">
      <w:pPr>
        <w:keepNext w:val="0"/>
        <w:keepLines w:val="0"/>
        <w:pageBreakBefore w:val="0"/>
        <w:widowControl w:val="0"/>
        <w:kinsoku/>
        <w:wordWrap/>
        <w:overflowPunct/>
        <w:topLinePunct w:val="0"/>
        <w:bidi w:val="0"/>
        <w:adjustRightInd/>
        <w:snapToGrid/>
        <w:spacing w:line="592" w:lineRule="exact"/>
        <w:ind w:firstLine="640" w:firstLineChars="200"/>
        <w:textAlignment w:val="auto"/>
        <w:outlineLvl w:val="1"/>
        <w:rPr>
          <w:rFonts w:eastAsia="楷体_GB2312"/>
          <w:b/>
          <w:bCs/>
          <w:color w:val="000000" w:themeColor="text1"/>
          <w:sz w:val="32"/>
          <w:szCs w:val="24"/>
          <w:highlight w:val="none"/>
          <w14:textFill>
            <w14:solidFill>
              <w14:schemeClr w14:val="tx1"/>
            </w14:solidFill>
          </w14:textFill>
        </w:rPr>
      </w:pPr>
      <w:r>
        <w:rPr>
          <w:rFonts w:hint="eastAsia" w:eastAsia="楷体_GB2312"/>
          <w:b/>
          <w:bCs/>
          <w:color w:val="000000" w:themeColor="text1"/>
          <w:sz w:val="32"/>
          <w:szCs w:val="24"/>
          <w:highlight w:val="none"/>
          <w14:textFill>
            <w14:solidFill>
              <w14:schemeClr w14:val="tx1"/>
            </w14:solidFill>
          </w14:textFill>
        </w:rPr>
        <w:t>（</w:t>
      </w:r>
      <w:r>
        <w:rPr>
          <w:rFonts w:hint="eastAsia" w:eastAsia="楷体_GB2312"/>
          <w:b/>
          <w:bCs/>
          <w:color w:val="000000" w:themeColor="text1"/>
          <w:sz w:val="32"/>
          <w:szCs w:val="24"/>
          <w:highlight w:val="none"/>
          <w:lang w:val="en-US" w:eastAsia="zh-CN"/>
          <w14:textFill>
            <w14:solidFill>
              <w14:schemeClr w14:val="tx1"/>
            </w14:solidFill>
          </w14:textFill>
        </w:rPr>
        <w:t>二</w:t>
      </w:r>
      <w:r>
        <w:rPr>
          <w:rFonts w:hint="eastAsia" w:eastAsia="楷体_GB2312"/>
          <w:b/>
          <w:bCs/>
          <w:color w:val="000000" w:themeColor="text1"/>
          <w:sz w:val="32"/>
          <w:szCs w:val="24"/>
          <w:highlight w:val="none"/>
          <w14:textFill>
            <w14:solidFill>
              <w14:schemeClr w14:val="tx1"/>
            </w14:solidFill>
          </w14:textFill>
        </w:rPr>
        <w:t>）绩效自评结论</w:t>
      </w:r>
      <w:bookmarkEnd w:id="51"/>
      <w:bookmarkEnd w:id="52"/>
    </w:p>
    <w:p w14:paraId="2BEF71EF">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color w:val="000000" w:themeColor="text1"/>
          <w:kern w:val="0"/>
          <w:sz w:val="32"/>
          <w:szCs w:val="32"/>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202</w:t>
      </w:r>
      <w:r>
        <w:rPr>
          <w:rFonts w:hint="eastAsia" w:eastAsia="仿宋_GB2312"/>
          <w:color w:val="000000" w:themeColor="text1"/>
          <w:sz w:val="32"/>
          <w:szCs w:val="32"/>
          <w:highlight w:val="none"/>
          <w:lang w:val="en-US" w:eastAsia="zh-CN"/>
          <w14:textFill>
            <w14:solidFill>
              <w14:schemeClr w14:val="tx1"/>
            </w14:solidFill>
          </w14:textFill>
        </w:rPr>
        <w:t>5</w:t>
      </w:r>
      <w:r>
        <w:rPr>
          <w:rFonts w:hint="eastAsia" w:eastAsia="仿宋_GB2312"/>
          <w:color w:val="000000" w:themeColor="text1"/>
          <w:sz w:val="32"/>
          <w:szCs w:val="32"/>
          <w:highlight w:val="none"/>
          <w14:textFill>
            <w14:solidFill>
              <w14:schemeClr w14:val="tx1"/>
            </w14:solidFill>
          </w14:textFill>
        </w:rPr>
        <w:t>年我厅部门整体支出绩效自评分为96.</w:t>
      </w:r>
      <w:r>
        <w:rPr>
          <w:rFonts w:hint="eastAsia" w:eastAsia="仿宋_GB2312"/>
          <w:color w:val="000000" w:themeColor="text1"/>
          <w:sz w:val="32"/>
          <w:szCs w:val="32"/>
          <w:highlight w:val="none"/>
          <w:lang w:val="en-US" w:eastAsia="zh-CN"/>
          <w14:textFill>
            <w14:solidFill>
              <w14:schemeClr w14:val="tx1"/>
            </w14:solidFill>
          </w14:textFill>
        </w:rPr>
        <w:t>81</w:t>
      </w:r>
      <w:r>
        <w:rPr>
          <w:rFonts w:hint="eastAsia" w:eastAsia="仿宋_GB2312"/>
          <w:color w:val="000000" w:themeColor="text1"/>
          <w:sz w:val="32"/>
          <w:szCs w:val="32"/>
          <w:highlight w:val="none"/>
          <w14:textFill>
            <w14:solidFill>
              <w14:schemeClr w14:val="tx1"/>
            </w14:solidFill>
          </w14:textFill>
        </w:rPr>
        <w:t>分，为“优”</w:t>
      </w:r>
      <w:r>
        <w:rPr>
          <w:rFonts w:hint="eastAsia" w:eastAsia="仿宋_GB2312"/>
          <w:color w:val="000000" w:themeColor="text1"/>
          <w:kern w:val="0"/>
          <w:sz w:val="32"/>
          <w:szCs w:val="32"/>
          <w:highlight w:val="none"/>
          <w14:textFill>
            <w14:solidFill>
              <w14:schemeClr w14:val="tx1"/>
            </w14:solidFill>
          </w14:textFill>
        </w:rPr>
        <w:t>等级。评价具体情况如下：</w:t>
      </w:r>
    </w:p>
    <w:p w14:paraId="1BF2ADA0">
      <w:pPr>
        <w:keepNext w:val="0"/>
        <w:keepLines w:val="0"/>
        <w:pageBreakBefore w:val="0"/>
        <w:widowControl w:val="0"/>
        <w:numPr>
          <w:ilvl w:val="0"/>
          <w:numId w:val="0"/>
        </w:numPr>
        <w:kinsoku/>
        <w:wordWrap/>
        <w:overflowPunct/>
        <w:topLinePunct w:val="0"/>
        <w:bidi w:val="0"/>
        <w:adjustRightInd/>
        <w:snapToGrid/>
        <w:spacing w:line="592" w:lineRule="exact"/>
        <w:ind w:firstLine="640" w:firstLineChars="200"/>
        <w:textAlignment w:val="auto"/>
        <w:rPr>
          <w:rFonts w:eastAsia="仿宋_GB2312"/>
          <w:color w:val="000000" w:themeColor="text1"/>
          <w:sz w:val="32"/>
          <w:szCs w:val="32"/>
          <w:highlight w:val="none"/>
          <w14:textFill>
            <w14:solidFill>
              <w14:schemeClr w14:val="tx1"/>
            </w14:solidFill>
          </w14:textFill>
        </w:rPr>
      </w:pPr>
      <w:r>
        <w:rPr>
          <w:rFonts w:ascii="Times New Roman" w:hAnsi="Times New Roman" w:eastAsia="仿宋_GB2312" w:cs="Times New Roman"/>
          <w:color w:val="000000" w:themeColor="text1"/>
          <w:kern w:val="2"/>
          <w:sz w:val="32"/>
          <w:szCs w:val="32"/>
          <w:lang w:val="en-US" w:eastAsia="zh-CN" w:bidi="ar-SA"/>
          <w14:textFill>
            <w14:solidFill>
              <w14:schemeClr w14:val="tx1"/>
            </w14:solidFill>
          </w14:textFill>
        </w:rPr>
        <w:t>1.</w:t>
      </w:r>
      <w:r>
        <w:rPr>
          <w:rFonts w:hint="eastAsia" w:eastAsia="仿宋_GB2312"/>
          <w:color w:val="000000" w:themeColor="text1"/>
          <w:sz w:val="32"/>
          <w:szCs w:val="32"/>
          <w:highlight w:val="none"/>
          <w14:textFill>
            <w14:solidFill>
              <w14:schemeClr w14:val="tx1"/>
            </w14:solidFill>
          </w14:textFill>
        </w:rPr>
        <w:t>全年预算执行率指标共计10分，得分</w:t>
      </w:r>
      <w:r>
        <w:rPr>
          <w:rFonts w:eastAsia="仿宋_GB2312"/>
          <w:color w:val="000000" w:themeColor="text1"/>
          <w:sz w:val="32"/>
          <w:szCs w:val="32"/>
          <w:highlight w:val="none"/>
          <w14:textFill>
            <w14:solidFill>
              <w14:schemeClr w14:val="tx1"/>
            </w14:solidFill>
          </w14:textFill>
        </w:rPr>
        <w:t>8.</w:t>
      </w:r>
      <w:r>
        <w:rPr>
          <w:rFonts w:hint="eastAsia" w:eastAsia="仿宋_GB2312"/>
          <w:color w:val="000000" w:themeColor="text1"/>
          <w:sz w:val="32"/>
          <w:szCs w:val="32"/>
          <w:highlight w:val="none"/>
          <w14:textFill>
            <w14:solidFill>
              <w14:schemeClr w14:val="tx1"/>
            </w14:solidFill>
          </w14:textFill>
        </w:rPr>
        <w:t>66分，扣1.34分。全年预算数为</w:t>
      </w:r>
      <w:r>
        <w:rPr>
          <w:rFonts w:eastAsia="仿宋_GB2312"/>
          <w:color w:val="000000" w:themeColor="text1"/>
          <w:sz w:val="32"/>
          <w:szCs w:val="32"/>
          <w:highlight w:val="none"/>
          <w14:textFill>
            <w14:solidFill>
              <w14:schemeClr w14:val="tx1"/>
            </w14:solidFill>
          </w14:textFill>
        </w:rPr>
        <w:t>3</w:t>
      </w:r>
      <w:r>
        <w:rPr>
          <w:rFonts w:hint="eastAsia" w:eastAsia="仿宋_GB2312"/>
          <w:color w:val="000000" w:themeColor="text1"/>
          <w:sz w:val="32"/>
          <w:szCs w:val="32"/>
          <w:highlight w:val="none"/>
          <w:lang w:val="en-US" w:eastAsia="zh-CN"/>
          <w14:textFill>
            <w14:solidFill>
              <w14:schemeClr w14:val="tx1"/>
            </w14:solidFill>
          </w14:textFill>
        </w:rPr>
        <w:t>3</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502.94</w:t>
      </w:r>
      <w:r>
        <w:rPr>
          <w:rFonts w:hint="eastAsia" w:eastAsia="仿宋_GB2312"/>
          <w:color w:val="000000" w:themeColor="text1"/>
          <w:sz w:val="32"/>
          <w:szCs w:val="32"/>
          <w:highlight w:val="none"/>
          <w14:textFill>
            <w14:solidFill>
              <w14:schemeClr w14:val="tx1"/>
            </w14:solidFill>
          </w14:textFill>
        </w:rPr>
        <w:t>万元，执行数</w:t>
      </w:r>
      <w:r>
        <w:rPr>
          <w:rFonts w:eastAsia="仿宋_GB2312"/>
          <w:color w:val="000000" w:themeColor="text1"/>
          <w:sz w:val="32"/>
          <w:szCs w:val="32"/>
          <w:highlight w:val="none"/>
          <w14:textFill>
            <w14:solidFill>
              <w14:schemeClr w14:val="tx1"/>
            </w14:solidFill>
          </w14:textFill>
        </w:rPr>
        <w:t>2</w:t>
      </w:r>
      <w:r>
        <w:rPr>
          <w:rFonts w:hint="eastAsia" w:eastAsia="仿宋_GB2312"/>
          <w:color w:val="000000" w:themeColor="text1"/>
          <w:sz w:val="32"/>
          <w:szCs w:val="32"/>
          <w:highlight w:val="none"/>
          <w:lang w:val="en-US" w:eastAsia="zh-CN"/>
          <w14:textFill>
            <w14:solidFill>
              <w14:schemeClr w14:val="tx1"/>
            </w14:solidFill>
          </w14:textFill>
        </w:rPr>
        <w:t>9</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000</w:t>
      </w:r>
      <w:r>
        <w:rPr>
          <w:rFonts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52</w:t>
      </w:r>
      <w:r>
        <w:rPr>
          <w:rFonts w:hint="eastAsia" w:eastAsia="仿宋_GB2312"/>
          <w:color w:val="000000" w:themeColor="text1"/>
          <w:sz w:val="32"/>
          <w:szCs w:val="32"/>
          <w:highlight w:val="none"/>
          <w14:textFill>
            <w14:solidFill>
              <w14:schemeClr w14:val="tx1"/>
            </w14:solidFill>
          </w14:textFill>
        </w:rPr>
        <w:t>万元，预算执行率为</w:t>
      </w:r>
      <w:r>
        <w:rPr>
          <w:rFonts w:eastAsia="仿宋_GB2312"/>
          <w:color w:val="000000" w:themeColor="text1"/>
          <w:sz w:val="32"/>
          <w:szCs w:val="32"/>
          <w:highlight w:val="none"/>
          <w14:textFill>
            <w14:solidFill>
              <w14:schemeClr w14:val="tx1"/>
            </w14:solidFill>
          </w14:textFill>
        </w:rPr>
        <w:t>86.</w:t>
      </w:r>
      <w:r>
        <w:rPr>
          <w:rFonts w:hint="eastAsia" w:eastAsia="仿宋_GB2312"/>
          <w:color w:val="000000" w:themeColor="text1"/>
          <w:sz w:val="32"/>
          <w:szCs w:val="32"/>
          <w:highlight w:val="none"/>
          <w:lang w:val="en-US" w:eastAsia="zh-CN"/>
          <w14:textFill>
            <w14:solidFill>
              <w14:schemeClr w14:val="tx1"/>
            </w14:solidFill>
          </w14:textFill>
        </w:rPr>
        <w:t>56</w:t>
      </w:r>
      <w:r>
        <w:rPr>
          <w:rFonts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14:textFill>
            <w14:solidFill>
              <w14:schemeClr w14:val="tx1"/>
            </w14:solidFill>
          </w14:textFill>
        </w:rPr>
        <w:t>。</w:t>
      </w:r>
    </w:p>
    <w:p w14:paraId="0B8E3325">
      <w:pPr>
        <w:keepNext w:val="0"/>
        <w:keepLines w:val="0"/>
        <w:pageBreakBefore w:val="0"/>
        <w:widowControl w:val="0"/>
        <w:numPr>
          <w:ilvl w:val="0"/>
          <w:numId w:val="0"/>
        </w:numPr>
        <w:kinsoku/>
        <w:wordWrap/>
        <w:overflowPunct/>
        <w:topLinePunct w:val="0"/>
        <w:bidi w:val="0"/>
        <w:adjustRightInd/>
        <w:snapToGrid/>
        <w:spacing w:line="592" w:lineRule="exact"/>
        <w:ind w:left="0" w:leftChars="0" w:firstLine="640" w:firstLineChars="200"/>
        <w:textAlignment w:val="auto"/>
        <w:rPr>
          <w:rFonts w:hint="eastAsia" w:eastAsia="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w:t>
      </w:r>
      <w:r>
        <w:rPr>
          <w:rFonts w:hint="eastAsia" w:eastAsia="仿宋_GB2312"/>
          <w:color w:val="000000" w:themeColor="text1"/>
          <w:sz w:val="32"/>
          <w:szCs w:val="32"/>
          <w:highlight w:val="none"/>
          <w14:textFill>
            <w14:solidFill>
              <w14:schemeClr w14:val="tx1"/>
            </w14:solidFill>
          </w14:textFill>
        </w:rPr>
        <w:t>产出指标该组指标共计50分，得分</w:t>
      </w:r>
      <w:r>
        <w:rPr>
          <w:rFonts w:eastAsia="仿宋_GB2312"/>
          <w:color w:val="000000" w:themeColor="text1"/>
          <w:sz w:val="32"/>
          <w:szCs w:val="32"/>
          <w:highlight w:val="none"/>
          <w14:textFill>
            <w14:solidFill>
              <w14:schemeClr w14:val="tx1"/>
            </w14:solidFill>
          </w14:textFill>
        </w:rPr>
        <w:t>49.</w:t>
      </w:r>
      <w:r>
        <w:rPr>
          <w:rFonts w:hint="eastAsia" w:eastAsia="仿宋_GB2312"/>
          <w:color w:val="000000" w:themeColor="text1"/>
          <w:sz w:val="32"/>
          <w:szCs w:val="32"/>
          <w:highlight w:val="none"/>
          <w:lang w:val="en-US" w:eastAsia="zh-CN"/>
          <w14:textFill>
            <w14:solidFill>
              <w14:schemeClr w14:val="tx1"/>
            </w14:solidFill>
          </w14:textFill>
        </w:rPr>
        <w:t>65</w:t>
      </w:r>
      <w:r>
        <w:rPr>
          <w:rFonts w:hint="eastAsia" w:eastAsia="仿宋_GB2312"/>
          <w:color w:val="000000" w:themeColor="text1"/>
          <w:sz w:val="32"/>
          <w:szCs w:val="32"/>
          <w:highlight w:val="none"/>
          <w14:textFill>
            <w14:solidFill>
              <w14:schemeClr w14:val="tx1"/>
            </w14:solidFill>
          </w14:textFill>
        </w:rPr>
        <w:t>分，扣0.</w:t>
      </w:r>
      <w:r>
        <w:rPr>
          <w:rFonts w:hint="eastAsia" w:eastAsia="仿宋_GB2312"/>
          <w:color w:val="000000" w:themeColor="text1"/>
          <w:sz w:val="32"/>
          <w:szCs w:val="32"/>
          <w:highlight w:val="none"/>
          <w:lang w:val="en-US" w:eastAsia="zh-CN"/>
          <w14:textFill>
            <w14:solidFill>
              <w14:schemeClr w14:val="tx1"/>
            </w14:solidFill>
          </w14:textFill>
        </w:rPr>
        <w:t>35</w:t>
      </w:r>
      <w:r>
        <w:rPr>
          <w:rFonts w:hint="eastAsia" w:eastAsia="仿宋_GB2312"/>
          <w:color w:val="000000" w:themeColor="text1"/>
          <w:sz w:val="32"/>
          <w:szCs w:val="32"/>
          <w:highlight w:val="none"/>
          <w14:textFill>
            <w14:solidFill>
              <w14:schemeClr w14:val="tx1"/>
            </w14:solidFill>
          </w14:textFill>
        </w:rPr>
        <w:t>分。专业技术人员职业资格考试非税收入情况目标值≥4,</w:t>
      </w:r>
      <w:r>
        <w:rPr>
          <w:rFonts w:hint="eastAsia" w:eastAsia="仿宋_GB2312"/>
          <w:color w:val="000000" w:themeColor="text1"/>
          <w:sz w:val="32"/>
          <w:szCs w:val="32"/>
          <w:highlight w:val="none"/>
          <w:lang w:val="en-US" w:eastAsia="zh-CN"/>
          <w14:textFill>
            <w14:solidFill>
              <w14:schemeClr w14:val="tx1"/>
            </w14:solidFill>
          </w14:textFill>
        </w:rPr>
        <w:t>2</w:t>
      </w:r>
      <w:r>
        <w:rPr>
          <w:rFonts w:hint="eastAsia" w:eastAsia="仿宋_GB2312"/>
          <w:color w:val="000000" w:themeColor="text1"/>
          <w:sz w:val="32"/>
          <w:szCs w:val="32"/>
          <w:highlight w:val="none"/>
          <w14:textFill>
            <w14:solidFill>
              <w14:schemeClr w14:val="tx1"/>
            </w14:solidFill>
          </w14:textFill>
        </w:rPr>
        <w:t>00</w:t>
      </w:r>
      <w:r>
        <w:rPr>
          <w:rFonts w:hint="eastAsia" w:eastAsia="仿宋_GB2312"/>
          <w:color w:val="000000" w:themeColor="text1"/>
          <w:sz w:val="32"/>
          <w:szCs w:val="32"/>
          <w:highlight w:val="none"/>
          <w:lang w:val="en-US" w:eastAsia="zh-CN"/>
          <w14:textFill>
            <w14:solidFill>
              <w14:schemeClr w14:val="tx1"/>
            </w14:solidFill>
          </w14:textFill>
        </w:rPr>
        <w:t>.00</w:t>
      </w:r>
      <w:r>
        <w:rPr>
          <w:rFonts w:hint="eastAsia" w:eastAsia="仿宋_GB2312"/>
          <w:color w:val="000000" w:themeColor="text1"/>
          <w:sz w:val="32"/>
          <w:szCs w:val="32"/>
          <w:highlight w:val="none"/>
          <w14:textFill>
            <w14:solidFill>
              <w14:schemeClr w14:val="tx1"/>
            </w14:solidFill>
          </w14:textFill>
        </w:rPr>
        <w:t>万元，实际完成3,</w:t>
      </w:r>
      <w:r>
        <w:rPr>
          <w:rFonts w:hint="eastAsia" w:eastAsia="仿宋_GB2312"/>
          <w:color w:val="000000" w:themeColor="text1"/>
          <w:sz w:val="32"/>
          <w:szCs w:val="32"/>
          <w:highlight w:val="none"/>
          <w:lang w:val="en-US" w:eastAsia="zh-CN"/>
          <w14:textFill>
            <w14:solidFill>
              <w14:schemeClr w14:val="tx1"/>
            </w14:solidFill>
          </w14:textFill>
        </w:rPr>
        <w:t>647.02</w:t>
      </w:r>
      <w:r>
        <w:rPr>
          <w:rFonts w:hint="eastAsia" w:eastAsia="仿宋_GB2312"/>
          <w:color w:val="000000" w:themeColor="text1"/>
          <w:sz w:val="32"/>
          <w:szCs w:val="32"/>
          <w:highlight w:val="none"/>
          <w14:textFill>
            <w14:solidFill>
              <w14:schemeClr w14:val="tx1"/>
            </w14:solidFill>
          </w14:textFill>
        </w:rPr>
        <w:t>万元，完成率</w:t>
      </w:r>
      <w:r>
        <w:rPr>
          <w:rFonts w:hint="eastAsia" w:eastAsia="仿宋_GB2312"/>
          <w:color w:val="000000" w:themeColor="text1"/>
          <w:sz w:val="32"/>
          <w:szCs w:val="32"/>
          <w:highlight w:val="none"/>
          <w:lang w:val="en-US" w:eastAsia="zh-CN"/>
          <w14:textFill>
            <w14:solidFill>
              <w14:schemeClr w14:val="tx1"/>
            </w14:solidFill>
          </w14:textFill>
        </w:rPr>
        <w:t>86.83</w:t>
      </w:r>
      <w:r>
        <w:rPr>
          <w:rFonts w:hint="eastAsia" w:eastAsia="仿宋_GB2312"/>
          <w:color w:val="000000" w:themeColor="text1"/>
          <w:sz w:val="32"/>
          <w:szCs w:val="32"/>
          <w:highlight w:val="none"/>
          <w14:textFill>
            <w14:solidFill>
              <w14:schemeClr w14:val="tx1"/>
            </w14:solidFill>
          </w14:textFill>
        </w:rPr>
        <w:t>%，该指标扣0.</w:t>
      </w:r>
      <w:r>
        <w:rPr>
          <w:rFonts w:hint="eastAsia" w:eastAsia="仿宋_GB2312"/>
          <w:color w:val="000000" w:themeColor="text1"/>
          <w:sz w:val="32"/>
          <w:szCs w:val="32"/>
          <w:highlight w:val="none"/>
          <w:lang w:val="en-US" w:eastAsia="zh-CN"/>
          <w14:textFill>
            <w14:solidFill>
              <w14:schemeClr w14:val="tx1"/>
            </w14:solidFill>
          </w14:textFill>
        </w:rPr>
        <w:t>13</w:t>
      </w:r>
      <w:r>
        <w:rPr>
          <w:rFonts w:hint="eastAsia" w:eastAsia="仿宋_GB2312"/>
          <w:color w:val="000000" w:themeColor="text1"/>
          <w:sz w:val="32"/>
          <w:szCs w:val="32"/>
          <w:highlight w:val="none"/>
          <w14:textFill>
            <w14:solidFill>
              <w14:schemeClr w14:val="tx1"/>
            </w14:solidFill>
          </w14:textFill>
        </w:rPr>
        <w:t>分；基本养老保险业参保人数</w:t>
      </w:r>
      <w:r>
        <w:rPr>
          <w:rFonts w:hint="eastAsia" w:eastAsia="仿宋_GB2312"/>
          <w:color w:val="000000" w:themeColor="text1"/>
          <w:sz w:val="32"/>
          <w:szCs w:val="32"/>
          <w:highlight w:val="none"/>
          <w:lang w:val="en-US" w:eastAsia="zh-CN"/>
          <w14:textFill>
            <w14:solidFill>
              <w14:schemeClr w14:val="tx1"/>
            </w14:solidFill>
          </w14:textFill>
        </w:rPr>
        <w:t>目标值≥5,406.50万人，实际完成5,300.31万人，完成率98.03%，该指标扣0.02分；</w:t>
      </w:r>
      <w:r>
        <w:rPr>
          <w:rFonts w:hint="eastAsia" w:eastAsia="仿宋_GB2312"/>
          <w:color w:val="000000" w:themeColor="text1"/>
          <w:sz w:val="32"/>
          <w:szCs w:val="32"/>
          <w:highlight w:val="none"/>
          <w14:textFill>
            <w14:solidFill>
              <w14:schemeClr w14:val="tx1"/>
            </w14:solidFill>
          </w14:textFill>
        </w:rPr>
        <w:t>政府采购执行率目标值</w:t>
      </w:r>
      <w:r>
        <w:rPr>
          <w:rFonts w:hint="eastAsia" w:eastAsia="仿宋_GB2312"/>
          <w:color w:val="000000" w:themeColor="text1"/>
          <w:sz w:val="32"/>
          <w:szCs w:val="32"/>
          <w:highlight w:val="none"/>
          <w:lang w:val="en-US" w:eastAsia="zh-CN"/>
          <w14:textFill>
            <w14:solidFill>
              <w14:schemeClr w14:val="tx1"/>
            </w14:solidFill>
          </w14:textFill>
        </w:rPr>
        <w:t>100%，实际完成97.19%，该指标扣0.2分。</w:t>
      </w:r>
    </w:p>
    <w:p w14:paraId="19F9D601">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color w:val="000000" w:themeColor="text1"/>
          <w:sz w:val="32"/>
          <w:szCs w:val="32"/>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3.效益指标该组指标共计30分，得分30分。</w:t>
      </w:r>
    </w:p>
    <w:p w14:paraId="2093A6C1">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color w:val="000000" w:themeColor="text1"/>
          <w:sz w:val="32"/>
          <w:szCs w:val="32"/>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4.社会公众或服务对象满意度指标共计10分，得分8.</w:t>
      </w:r>
      <w:r>
        <w:rPr>
          <w:rFonts w:hint="eastAsia" w:eastAsia="仿宋_GB2312"/>
          <w:color w:val="000000" w:themeColor="text1"/>
          <w:sz w:val="32"/>
          <w:szCs w:val="32"/>
          <w:highlight w:val="none"/>
          <w:lang w:val="en-US" w:eastAsia="zh-CN"/>
          <w14:textFill>
            <w14:solidFill>
              <w14:schemeClr w14:val="tx1"/>
            </w14:solidFill>
          </w14:textFill>
        </w:rPr>
        <w:t>5</w:t>
      </w:r>
      <w:r>
        <w:rPr>
          <w:rFonts w:hint="eastAsia" w:eastAsia="仿宋_GB2312"/>
          <w:color w:val="000000" w:themeColor="text1"/>
          <w:sz w:val="32"/>
          <w:szCs w:val="32"/>
          <w:highlight w:val="none"/>
          <w14:textFill>
            <w14:solidFill>
              <w14:schemeClr w14:val="tx1"/>
            </w14:solidFill>
          </w14:textFill>
        </w:rPr>
        <w:t>分，扣</w:t>
      </w:r>
      <w:r>
        <w:rPr>
          <w:rFonts w:hint="eastAsia" w:eastAsia="仿宋_GB2312"/>
          <w:color w:val="000000" w:themeColor="text1"/>
          <w:sz w:val="32"/>
          <w:szCs w:val="32"/>
          <w:highlight w:val="none"/>
          <w:lang w:val="en-US" w:eastAsia="zh-CN"/>
          <w14:textFill>
            <w14:solidFill>
              <w14:schemeClr w14:val="tx1"/>
            </w14:solidFill>
          </w14:textFill>
        </w:rPr>
        <w:t>1.5</w:t>
      </w:r>
      <w:r>
        <w:rPr>
          <w:rFonts w:hint="eastAsia" w:eastAsia="仿宋_GB2312"/>
          <w:color w:val="000000" w:themeColor="text1"/>
          <w:sz w:val="32"/>
          <w:szCs w:val="32"/>
          <w:highlight w:val="none"/>
          <w14:textFill>
            <w14:solidFill>
              <w14:schemeClr w14:val="tx1"/>
            </w14:solidFill>
          </w14:textFill>
        </w:rPr>
        <w:t>分。</w:t>
      </w:r>
    </w:p>
    <w:p w14:paraId="5B70EB0A">
      <w:pPr>
        <w:pStyle w:val="2"/>
        <w:keepNext w:val="0"/>
        <w:keepLines w:val="0"/>
        <w:pageBreakBefore w:val="0"/>
        <w:widowControl w:val="0"/>
        <w:numPr>
          <w:ilvl w:val="0"/>
          <w:numId w:val="1"/>
        </w:numPr>
        <w:kinsoku/>
        <w:wordWrap/>
        <w:overflowPunct/>
        <w:topLinePunct w:val="0"/>
        <w:bidi w:val="0"/>
        <w:adjustRightInd/>
        <w:snapToGrid/>
        <w:spacing w:line="592" w:lineRule="exact"/>
        <w:ind w:firstLine="640"/>
        <w:textAlignment w:val="auto"/>
        <w:rPr>
          <w:rFonts w:eastAsia="黑体"/>
          <w:b w:val="0"/>
          <w:bCs w:val="0"/>
          <w:kern w:val="2"/>
          <w:sz w:val="32"/>
          <w:szCs w:val="24"/>
          <w:highlight w:val="none"/>
        </w:rPr>
      </w:pPr>
      <w:bookmarkStart w:id="53" w:name="_Toc195797082"/>
      <w:bookmarkStart w:id="54" w:name="_Toc167115825"/>
      <w:r>
        <w:rPr>
          <w:rFonts w:hint="eastAsia" w:eastAsia="黑体"/>
          <w:b w:val="0"/>
          <w:bCs w:val="0"/>
          <w:kern w:val="2"/>
          <w:sz w:val="32"/>
          <w:szCs w:val="24"/>
          <w:highlight w:val="none"/>
        </w:rPr>
        <w:t>存在的问题及原因分析</w:t>
      </w:r>
      <w:bookmarkEnd w:id="53"/>
      <w:bookmarkEnd w:id="54"/>
    </w:p>
    <w:p w14:paraId="6FACD6BB">
      <w:pPr>
        <w:spacing w:line="592" w:lineRule="exact"/>
        <w:ind w:firstLine="476" w:firstLineChars="149"/>
        <w:outlineLvl w:val="1"/>
        <w:rPr>
          <w:rFonts w:hint="eastAsia" w:eastAsia="楷体_GB2312"/>
          <w:b/>
          <w:bCs/>
          <w:sz w:val="32"/>
          <w:szCs w:val="24"/>
          <w:lang w:val="en-US" w:eastAsia="zh-CN"/>
        </w:rPr>
      </w:pPr>
      <w:bookmarkStart w:id="55" w:name="_Toc167115827"/>
      <w:bookmarkStart w:id="56" w:name="_Toc195797084"/>
      <w:r>
        <w:rPr>
          <w:rFonts w:hint="eastAsia" w:eastAsia="楷体_GB2312"/>
          <w:b/>
          <w:bCs/>
          <w:sz w:val="32"/>
          <w:szCs w:val="24"/>
          <w:highlight w:val="none"/>
        </w:rPr>
        <w:t>（</w:t>
      </w:r>
      <w:r>
        <w:rPr>
          <w:rFonts w:hint="eastAsia" w:eastAsia="楷体_GB2312"/>
          <w:b/>
          <w:bCs/>
          <w:sz w:val="32"/>
          <w:szCs w:val="24"/>
          <w:highlight w:val="none"/>
          <w:lang w:val="en-US" w:eastAsia="zh-CN"/>
        </w:rPr>
        <w:t>一</w:t>
      </w:r>
      <w:r>
        <w:rPr>
          <w:rFonts w:hint="eastAsia" w:eastAsia="楷体_GB2312"/>
          <w:b/>
          <w:bCs/>
          <w:sz w:val="32"/>
          <w:szCs w:val="24"/>
          <w:highlight w:val="none"/>
        </w:rPr>
        <w:t>）政务信息公开质效有待提</w:t>
      </w:r>
      <w:r>
        <w:rPr>
          <w:rFonts w:hint="eastAsia" w:eastAsia="楷体_GB2312"/>
          <w:b/>
          <w:bCs/>
          <w:sz w:val="32"/>
          <w:szCs w:val="24"/>
          <w:highlight w:val="none"/>
          <w:lang w:val="en-US" w:eastAsia="zh-CN"/>
        </w:rPr>
        <w:t>升</w:t>
      </w:r>
    </w:p>
    <w:p w14:paraId="4A258731">
      <w:pPr>
        <w:spacing w:line="592" w:lineRule="exact"/>
        <w:ind w:firstLine="640" w:firstLineChars="200"/>
        <w:rPr>
          <w:rFonts w:hint="eastAsia" w:eastAsia="仿宋_GB2312"/>
          <w:sz w:val="32"/>
          <w:szCs w:val="32"/>
          <w:highlight w:val="none"/>
          <w:lang w:eastAsia="zh-CN"/>
        </w:rPr>
      </w:pPr>
      <w:r>
        <w:rPr>
          <w:rFonts w:hint="eastAsia" w:eastAsia="仿宋_GB2312"/>
          <w:b/>
          <w:bCs/>
          <w:sz w:val="32"/>
          <w:szCs w:val="32"/>
          <w:highlight w:val="none"/>
          <w:lang w:eastAsia="zh-CN"/>
        </w:rPr>
        <w:t>一是</w:t>
      </w:r>
      <w:r>
        <w:rPr>
          <w:rFonts w:hint="eastAsia" w:eastAsia="仿宋_GB2312"/>
          <w:sz w:val="32"/>
          <w:szCs w:val="32"/>
          <w:highlight w:val="none"/>
          <w:lang w:eastAsia="zh-CN"/>
        </w:rPr>
        <w:t>信息更新时效性不足。部分公开信息未能同步跟进人社工作最新动态，信息发布存在滞后现象。</w:t>
      </w:r>
      <w:r>
        <w:rPr>
          <w:rFonts w:hint="eastAsia" w:eastAsia="仿宋_GB2312"/>
          <w:b/>
          <w:bCs/>
          <w:sz w:val="32"/>
          <w:szCs w:val="32"/>
          <w:highlight w:val="none"/>
          <w:lang w:eastAsia="zh-CN"/>
        </w:rPr>
        <w:t>二是</w:t>
      </w:r>
      <w:r>
        <w:rPr>
          <w:rFonts w:hint="eastAsia" w:eastAsia="仿宋_GB2312"/>
          <w:sz w:val="32"/>
          <w:szCs w:val="32"/>
          <w:highlight w:val="none"/>
          <w:lang w:eastAsia="zh-CN"/>
        </w:rPr>
        <w:t>信息发布过度依赖内部网站、公告栏等传统途径，未能充分发挥互联网及政务新媒体的传播优势。</w:t>
      </w:r>
    </w:p>
    <w:p w14:paraId="7B7DB0A4">
      <w:pPr>
        <w:spacing w:line="592" w:lineRule="exact"/>
        <w:ind w:firstLine="476" w:firstLineChars="149"/>
        <w:outlineLvl w:val="1"/>
        <w:rPr>
          <w:rFonts w:hint="eastAsia" w:eastAsia="楷体_GB2312"/>
          <w:b/>
          <w:bCs/>
          <w:sz w:val="32"/>
          <w:szCs w:val="24"/>
          <w:highlight w:val="none"/>
          <w:lang w:eastAsia="zh-CN"/>
        </w:rPr>
      </w:pPr>
      <w:r>
        <w:rPr>
          <w:rFonts w:hint="eastAsia" w:eastAsia="楷体_GB2312"/>
          <w:b/>
          <w:bCs/>
          <w:sz w:val="32"/>
          <w:szCs w:val="24"/>
          <w:highlight w:val="none"/>
          <w:lang w:eastAsia="zh-CN"/>
        </w:rPr>
        <w:t>（</w:t>
      </w:r>
      <w:r>
        <w:rPr>
          <w:rFonts w:hint="eastAsia" w:eastAsia="楷体_GB2312"/>
          <w:b/>
          <w:bCs/>
          <w:sz w:val="32"/>
          <w:szCs w:val="24"/>
          <w:highlight w:val="none"/>
          <w:lang w:val="en-US" w:eastAsia="zh-CN"/>
        </w:rPr>
        <w:t>二）</w:t>
      </w:r>
      <w:r>
        <w:rPr>
          <w:rFonts w:hint="eastAsia" w:eastAsia="楷体_GB2312"/>
          <w:b/>
          <w:bCs/>
          <w:sz w:val="32"/>
          <w:szCs w:val="24"/>
          <w:highlight w:val="none"/>
        </w:rPr>
        <w:t>项目预算编制的精准度有待提</w:t>
      </w:r>
      <w:r>
        <w:rPr>
          <w:rFonts w:hint="eastAsia" w:eastAsia="楷体_GB2312"/>
          <w:b/>
          <w:bCs/>
          <w:sz w:val="32"/>
          <w:szCs w:val="24"/>
          <w:highlight w:val="none"/>
          <w:lang w:val="en-US" w:eastAsia="zh-CN"/>
        </w:rPr>
        <w:t>高</w:t>
      </w:r>
    </w:p>
    <w:p w14:paraId="19D4B15A">
      <w:pPr>
        <w:spacing w:line="592" w:lineRule="exact"/>
        <w:ind w:firstLine="640" w:firstLineChars="200"/>
        <w:rPr>
          <w:rFonts w:hint="eastAsia" w:eastAsia="楷体_GB2312"/>
          <w:b/>
          <w:bCs/>
          <w:color w:val="FF0000"/>
          <w:sz w:val="32"/>
          <w:szCs w:val="24"/>
          <w:highlight w:val="none"/>
        </w:rPr>
      </w:pPr>
      <w:r>
        <w:rPr>
          <w:rFonts w:hint="eastAsia" w:eastAsia="仿宋_GB2312"/>
          <w:sz w:val="32"/>
          <w:szCs w:val="32"/>
          <w:highlight w:val="none"/>
        </w:rPr>
        <w:t>当前预算管理在编制与实施环节仍存在编制不够细化、追加预算等问题，</w:t>
      </w:r>
      <w:r>
        <w:rPr>
          <w:rFonts w:hint="eastAsia" w:eastAsia="仿宋_GB2312"/>
          <w:sz w:val="32"/>
          <w:szCs w:val="32"/>
          <w:highlight w:val="none"/>
          <w:lang w:val="en-US" w:eastAsia="zh-CN"/>
        </w:rPr>
        <w:t>不能</w:t>
      </w:r>
      <w:r>
        <w:rPr>
          <w:rFonts w:hint="eastAsia" w:eastAsia="仿宋_GB2312"/>
          <w:sz w:val="32"/>
          <w:szCs w:val="32"/>
          <w:highlight w:val="none"/>
        </w:rPr>
        <w:t>全面反映项目实际资金需求，导致预算执行刚性不足、精准度偏弱，亟需进一步规范加强。</w:t>
      </w:r>
    </w:p>
    <w:bookmarkEnd w:id="55"/>
    <w:p w14:paraId="505230A8">
      <w:pPr>
        <w:keepNext w:val="0"/>
        <w:keepLines w:val="0"/>
        <w:pageBreakBefore w:val="0"/>
        <w:widowControl w:val="0"/>
        <w:kinsoku/>
        <w:wordWrap/>
        <w:overflowPunct/>
        <w:topLinePunct w:val="0"/>
        <w:bidi w:val="0"/>
        <w:adjustRightInd/>
        <w:snapToGrid/>
        <w:spacing w:line="592" w:lineRule="exact"/>
        <w:ind w:firstLine="476" w:firstLineChars="149"/>
        <w:textAlignment w:val="auto"/>
        <w:outlineLvl w:val="1"/>
        <w:rPr>
          <w:rFonts w:eastAsia="楷体_GB2312"/>
          <w:b/>
          <w:bCs/>
          <w:color w:val="auto"/>
          <w:sz w:val="32"/>
          <w:szCs w:val="24"/>
          <w:highlight w:val="none"/>
        </w:rPr>
      </w:pPr>
      <w:r>
        <w:rPr>
          <w:rFonts w:hint="eastAsia" w:eastAsia="楷体_GB2312"/>
          <w:b/>
          <w:bCs/>
          <w:color w:val="auto"/>
          <w:sz w:val="32"/>
          <w:szCs w:val="24"/>
          <w:highlight w:val="none"/>
          <w:lang w:eastAsia="zh-CN"/>
        </w:rPr>
        <w:t>（</w:t>
      </w:r>
      <w:r>
        <w:rPr>
          <w:rFonts w:hint="eastAsia" w:eastAsia="楷体_GB2312"/>
          <w:b/>
          <w:bCs/>
          <w:color w:val="auto"/>
          <w:sz w:val="32"/>
          <w:szCs w:val="24"/>
          <w:highlight w:val="none"/>
          <w:lang w:val="en-US" w:eastAsia="zh-CN"/>
        </w:rPr>
        <w:t>三</w:t>
      </w:r>
      <w:r>
        <w:rPr>
          <w:rFonts w:hint="eastAsia" w:eastAsia="楷体_GB2312"/>
          <w:b/>
          <w:bCs/>
          <w:sz w:val="32"/>
          <w:szCs w:val="24"/>
          <w:highlight w:val="none"/>
          <w:lang w:val="en-US" w:eastAsia="zh-CN"/>
        </w:rPr>
        <w:t>）</w:t>
      </w:r>
      <w:bookmarkEnd w:id="56"/>
      <w:r>
        <w:rPr>
          <w:rFonts w:hint="eastAsia" w:eastAsia="楷体_GB2312"/>
          <w:b/>
          <w:bCs/>
          <w:sz w:val="32"/>
          <w:szCs w:val="24"/>
          <w:highlight w:val="none"/>
          <w:lang w:val="en-US"/>
        </w:rPr>
        <w:t>部分</w:t>
      </w:r>
      <w:r>
        <w:rPr>
          <w:rFonts w:hint="eastAsia" w:eastAsia="楷体_GB2312"/>
          <w:b/>
          <w:bCs/>
          <w:sz w:val="32"/>
          <w:szCs w:val="24"/>
          <w:highlight w:val="none"/>
          <w:lang w:val="en-US" w:eastAsia="zh-CN"/>
        </w:rPr>
        <w:t>项目</w:t>
      </w:r>
      <w:r>
        <w:rPr>
          <w:rFonts w:hint="eastAsia" w:eastAsia="楷体_GB2312"/>
          <w:b/>
          <w:bCs/>
          <w:sz w:val="32"/>
          <w:szCs w:val="24"/>
          <w:highlight w:val="none"/>
          <w:lang w:val="en-US"/>
        </w:rPr>
        <w:t>支付进度迟缓，造成预算执行率降低</w:t>
      </w:r>
    </w:p>
    <w:p w14:paraId="7C216D6D">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hint="eastAsia" w:eastAsia="仿宋_GB2312"/>
          <w:color w:val="auto"/>
          <w:sz w:val="32"/>
          <w:szCs w:val="32"/>
          <w:highlight w:val="none"/>
          <w:lang w:eastAsia="zh-CN"/>
        </w:rPr>
      </w:pPr>
      <w:r>
        <w:rPr>
          <w:rFonts w:hint="eastAsia" w:eastAsia="仿宋_GB2312"/>
          <w:color w:val="auto"/>
          <w:sz w:val="32"/>
          <w:szCs w:val="32"/>
          <w:highlight w:val="none"/>
          <w:lang w:val="en-US" w:eastAsia="zh-CN"/>
        </w:rPr>
        <w:t>因就业专项</w:t>
      </w:r>
      <w:r>
        <w:rPr>
          <w:rFonts w:hint="eastAsia" w:eastAsia="仿宋_GB2312"/>
          <w:color w:val="auto"/>
          <w:sz w:val="32"/>
          <w:szCs w:val="32"/>
          <w:highlight w:val="none"/>
        </w:rPr>
        <w:t>省级配套资金、省补助构建和谐劳动关系</w:t>
      </w:r>
      <w:r>
        <w:rPr>
          <w:rFonts w:hint="eastAsia" w:eastAsia="仿宋_GB2312"/>
          <w:color w:val="auto"/>
          <w:sz w:val="32"/>
          <w:szCs w:val="32"/>
          <w:highlight w:val="none"/>
          <w:lang w:val="en-US" w:eastAsia="zh-CN"/>
        </w:rPr>
        <w:t>等</w:t>
      </w:r>
      <w:r>
        <w:rPr>
          <w:rFonts w:hint="eastAsia" w:eastAsia="仿宋_GB2312"/>
          <w:color w:val="auto"/>
          <w:sz w:val="32"/>
          <w:szCs w:val="32"/>
          <w:highlight w:val="none"/>
        </w:rPr>
        <w:t>个别项目资金</w:t>
      </w:r>
      <w:r>
        <w:rPr>
          <w:rFonts w:hint="eastAsia" w:eastAsia="仿宋_GB2312"/>
          <w:color w:val="auto"/>
          <w:sz w:val="32"/>
          <w:szCs w:val="32"/>
          <w:highlight w:val="none"/>
          <w:lang w:val="en-US" w:eastAsia="zh-CN"/>
        </w:rPr>
        <w:t>当年未形成</w:t>
      </w:r>
      <w:r>
        <w:rPr>
          <w:rFonts w:hint="eastAsia" w:eastAsia="仿宋_GB2312"/>
          <w:color w:val="auto"/>
          <w:sz w:val="32"/>
          <w:szCs w:val="32"/>
          <w:highlight w:val="none"/>
        </w:rPr>
        <w:t>支付，全厅预算执行率为86.</w:t>
      </w:r>
      <w:r>
        <w:rPr>
          <w:rFonts w:hint="eastAsia" w:eastAsia="仿宋_GB2312"/>
          <w:color w:val="auto"/>
          <w:sz w:val="32"/>
          <w:szCs w:val="32"/>
          <w:highlight w:val="none"/>
          <w:lang w:val="en-US" w:eastAsia="zh-CN"/>
        </w:rPr>
        <w:t>56</w:t>
      </w:r>
      <w:r>
        <w:rPr>
          <w:rFonts w:hint="eastAsia" w:eastAsia="仿宋_GB2312"/>
          <w:color w:val="auto"/>
          <w:sz w:val="32"/>
          <w:szCs w:val="32"/>
          <w:highlight w:val="none"/>
        </w:rPr>
        <w:t>%，其中基本支出执行率为96.</w:t>
      </w:r>
      <w:r>
        <w:rPr>
          <w:rFonts w:hint="eastAsia" w:eastAsia="仿宋_GB2312"/>
          <w:color w:val="auto"/>
          <w:sz w:val="32"/>
          <w:szCs w:val="32"/>
          <w:highlight w:val="none"/>
          <w:lang w:val="en-US" w:eastAsia="zh-CN"/>
        </w:rPr>
        <w:t>03</w:t>
      </w:r>
      <w:r>
        <w:rPr>
          <w:rFonts w:hint="eastAsia" w:eastAsia="仿宋_GB2312"/>
          <w:color w:val="auto"/>
          <w:sz w:val="32"/>
          <w:szCs w:val="32"/>
          <w:highlight w:val="none"/>
        </w:rPr>
        <w:t>%，项目支出执行率为7</w:t>
      </w:r>
      <w:r>
        <w:rPr>
          <w:rFonts w:hint="eastAsia" w:eastAsia="仿宋_GB2312"/>
          <w:color w:val="auto"/>
          <w:sz w:val="32"/>
          <w:szCs w:val="32"/>
          <w:highlight w:val="none"/>
          <w:lang w:val="en-US" w:eastAsia="zh-CN"/>
        </w:rPr>
        <w:t>9.47</w:t>
      </w:r>
      <w:r>
        <w:rPr>
          <w:rFonts w:hint="eastAsia" w:eastAsia="仿宋_GB2312"/>
          <w:color w:val="auto"/>
          <w:sz w:val="32"/>
          <w:szCs w:val="32"/>
          <w:highlight w:val="none"/>
        </w:rPr>
        <w:t>%</w:t>
      </w:r>
      <w:r>
        <w:rPr>
          <w:rFonts w:hint="eastAsia" w:eastAsia="仿宋_GB2312"/>
          <w:color w:val="auto"/>
          <w:sz w:val="32"/>
          <w:szCs w:val="32"/>
          <w:highlight w:val="none"/>
          <w:lang w:eastAsia="zh-CN"/>
        </w:rPr>
        <w:t>。</w:t>
      </w:r>
    </w:p>
    <w:p w14:paraId="23DFD73F">
      <w:pPr>
        <w:pStyle w:val="2"/>
        <w:keepNext w:val="0"/>
        <w:keepLines w:val="0"/>
        <w:pageBreakBefore w:val="0"/>
        <w:widowControl w:val="0"/>
        <w:numPr>
          <w:ilvl w:val="0"/>
          <w:numId w:val="1"/>
        </w:numPr>
        <w:kinsoku/>
        <w:wordWrap/>
        <w:overflowPunct/>
        <w:topLinePunct w:val="0"/>
        <w:bidi w:val="0"/>
        <w:adjustRightInd/>
        <w:snapToGrid/>
        <w:spacing w:line="592" w:lineRule="exact"/>
        <w:ind w:firstLine="640"/>
        <w:textAlignment w:val="auto"/>
        <w:rPr>
          <w:rFonts w:eastAsia="黑体"/>
          <w:b w:val="0"/>
          <w:bCs w:val="0"/>
          <w:color w:val="auto"/>
          <w:kern w:val="2"/>
          <w:sz w:val="32"/>
          <w:szCs w:val="24"/>
          <w:highlight w:val="none"/>
        </w:rPr>
      </w:pPr>
      <w:bookmarkStart w:id="57" w:name="_Toc195797088"/>
      <w:bookmarkStart w:id="58" w:name="_Toc167115830"/>
      <w:r>
        <w:rPr>
          <w:rFonts w:hint="eastAsia" w:eastAsia="黑体"/>
          <w:b w:val="0"/>
          <w:bCs w:val="0"/>
          <w:color w:val="auto"/>
          <w:kern w:val="2"/>
          <w:sz w:val="32"/>
          <w:szCs w:val="24"/>
          <w:highlight w:val="none"/>
        </w:rPr>
        <w:t>下一步改进措施</w:t>
      </w:r>
      <w:bookmarkEnd w:id="57"/>
      <w:bookmarkEnd w:id="58"/>
    </w:p>
    <w:p w14:paraId="2CE9BBBB">
      <w:pPr>
        <w:spacing w:line="592" w:lineRule="exact"/>
        <w:ind w:firstLine="640" w:firstLineChars="200"/>
        <w:rPr>
          <w:rFonts w:hint="eastAsia" w:eastAsia="楷体_GB2312"/>
          <w:b/>
          <w:bCs/>
          <w:sz w:val="32"/>
          <w:szCs w:val="24"/>
          <w:highlight w:val="none"/>
          <w:lang w:eastAsia="zh-CN"/>
        </w:rPr>
      </w:pPr>
      <w:bookmarkStart w:id="59" w:name="_Toc195797089"/>
      <w:bookmarkStart w:id="60" w:name="_Toc167115831"/>
      <w:r>
        <w:rPr>
          <w:rFonts w:hint="eastAsia" w:eastAsia="楷体_GB2312"/>
          <w:b/>
          <w:bCs/>
          <w:sz w:val="32"/>
          <w:szCs w:val="24"/>
          <w:highlight w:val="none"/>
        </w:rPr>
        <w:t>（一）</w:t>
      </w:r>
      <w:bookmarkEnd w:id="59"/>
      <w:bookmarkEnd w:id="60"/>
      <w:r>
        <w:rPr>
          <w:rFonts w:hint="eastAsia" w:eastAsia="楷体_GB2312"/>
          <w:b/>
          <w:bCs/>
          <w:sz w:val="32"/>
          <w:szCs w:val="24"/>
          <w:highlight w:val="none"/>
        </w:rPr>
        <w:t>拓展信息公开维度，健全多元传播体系</w:t>
      </w:r>
    </w:p>
    <w:p w14:paraId="3F08FB27">
      <w:pPr>
        <w:spacing w:line="592" w:lineRule="exact"/>
        <w:ind w:firstLine="640" w:firstLineChars="200"/>
        <w:rPr>
          <w:rFonts w:eastAsia="仿宋_GB2312"/>
          <w:sz w:val="32"/>
          <w:szCs w:val="32"/>
          <w:highlight w:val="none"/>
        </w:rPr>
      </w:pPr>
      <w:r>
        <w:rPr>
          <w:rFonts w:hint="eastAsia" w:eastAsia="仿宋_GB2312"/>
          <w:b/>
          <w:bCs/>
          <w:sz w:val="32"/>
          <w:szCs w:val="32"/>
          <w:highlight w:val="none"/>
        </w:rPr>
        <w:t>一是</w:t>
      </w:r>
      <w:r>
        <w:rPr>
          <w:rFonts w:hint="eastAsia" w:eastAsia="仿宋_GB2312"/>
          <w:sz w:val="32"/>
          <w:szCs w:val="32"/>
          <w:highlight w:val="none"/>
        </w:rPr>
        <w:t>梳理人社业务，拓展公开范围。将社保基金、就业创业、劳动关系等与群众企业切身利益紧密相关的实施举措、进展成效等内容纳入信息公开范围，切实保障公众的知情权与监督权。</w:t>
      </w:r>
      <w:r>
        <w:rPr>
          <w:rFonts w:hint="eastAsia" w:eastAsia="仿宋_GB2312"/>
          <w:b/>
          <w:bCs/>
          <w:sz w:val="32"/>
          <w:szCs w:val="32"/>
          <w:highlight w:val="none"/>
        </w:rPr>
        <w:t>二是</w:t>
      </w:r>
      <w:r>
        <w:rPr>
          <w:rFonts w:hint="eastAsia" w:eastAsia="仿宋_GB2312"/>
          <w:sz w:val="32"/>
          <w:szCs w:val="32"/>
          <w:highlight w:val="none"/>
        </w:rPr>
        <w:t>搭建多元平台，畅通传播渠道。构建“线上+线下”联动的信息发布体系，以官方门户网站为核心阵地，充分运用微信公众号、抖音等政务新媒体平台，同步优化公告栏、政务服务窗口等线下载体，确保工作动态与政策信息第一时间精准触达群众。</w:t>
      </w:r>
    </w:p>
    <w:p w14:paraId="67110161">
      <w:pPr>
        <w:spacing w:line="592" w:lineRule="exact"/>
        <w:ind w:firstLine="640" w:firstLineChars="200"/>
        <w:rPr>
          <w:rFonts w:hint="eastAsia" w:eastAsia="楷体_GB2312"/>
          <w:b/>
          <w:bCs/>
          <w:sz w:val="32"/>
          <w:szCs w:val="24"/>
          <w:highlight w:val="none"/>
        </w:rPr>
      </w:pPr>
      <w:r>
        <w:rPr>
          <w:rFonts w:hint="eastAsia" w:eastAsia="楷体_GB2312"/>
          <w:b/>
          <w:bCs/>
          <w:sz w:val="32"/>
          <w:szCs w:val="24"/>
          <w:highlight w:val="none"/>
        </w:rPr>
        <w:t>（二）</w:t>
      </w:r>
      <w:r>
        <w:rPr>
          <w:rFonts w:hint="eastAsia" w:eastAsia="楷体_GB2312"/>
          <w:b/>
          <w:bCs/>
          <w:sz w:val="32"/>
          <w:szCs w:val="24"/>
          <w:highlight w:val="none"/>
          <w:lang w:val="en-US" w:eastAsia="zh-CN"/>
        </w:rPr>
        <w:t>强化</w:t>
      </w:r>
      <w:r>
        <w:rPr>
          <w:rFonts w:hint="eastAsia" w:eastAsia="楷体_GB2312"/>
          <w:b/>
          <w:bCs/>
          <w:sz w:val="32"/>
          <w:szCs w:val="24"/>
          <w:highlight w:val="none"/>
        </w:rPr>
        <w:t>预算管理</w:t>
      </w:r>
      <w:r>
        <w:rPr>
          <w:rFonts w:hint="eastAsia" w:eastAsia="楷体_GB2312"/>
          <w:b/>
          <w:bCs/>
          <w:sz w:val="32"/>
          <w:szCs w:val="24"/>
          <w:highlight w:val="none"/>
          <w:lang w:eastAsia="zh-CN"/>
        </w:rPr>
        <w:t>，</w:t>
      </w:r>
      <w:r>
        <w:rPr>
          <w:rFonts w:hint="eastAsia" w:eastAsia="楷体_GB2312"/>
          <w:b/>
          <w:bCs/>
          <w:sz w:val="32"/>
          <w:szCs w:val="24"/>
          <w:highlight w:val="none"/>
          <w:lang w:val="en-US"/>
        </w:rPr>
        <w:t>科学编制预算</w:t>
      </w:r>
    </w:p>
    <w:p w14:paraId="789AEF7A">
      <w:pPr>
        <w:spacing w:line="592" w:lineRule="exact"/>
        <w:ind w:firstLine="640" w:firstLineChars="200"/>
        <w:rPr>
          <w:rFonts w:hint="eastAsia" w:eastAsia="仿宋_GB2312"/>
          <w:sz w:val="32"/>
          <w:szCs w:val="32"/>
          <w:highlight w:val="none"/>
        </w:rPr>
      </w:pPr>
      <w:r>
        <w:rPr>
          <w:rFonts w:hint="eastAsia" w:eastAsia="仿宋_GB2312"/>
          <w:sz w:val="32"/>
          <w:szCs w:val="32"/>
          <w:highlight w:val="none"/>
          <w:lang w:val="en-US" w:eastAsia="zh-CN"/>
        </w:rPr>
        <w:t>提升</w:t>
      </w:r>
      <w:r>
        <w:rPr>
          <w:rFonts w:hint="eastAsia" w:eastAsia="仿宋_GB2312"/>
          <w:sz w:val="32"/>
          <w:szCs w:val="32"/>
          <w:highlight w:val="none"/>
        </w:rPr>
        <w:t>预算编制精细化水平</w:t>
      </w:r>
      <w:r>
        <w:rPr>
          <w:rFonts w:hint="eastAsia" w:eastAsia="仿宋_GB2312"/>
          <w:sz w:val="32"/>
          <w:szCs w:val="32"/>
          <w:highlight w:val="none"/>
          <w:lang w:eastAsia="zh-CN"/>
        </w:rPr>
        <w:t>，</w:t>
      </w:r>
      <w:r>
        <w:rPr>
          <w:rFonts w:hint="eastAsia" w:eastAsia="仿宋_GB2312"/>
          <w:sz w:val="32"/>
          <w:szCs w:val="32"/>
          <w:highlight w:val="none"/>
        </w:rPr>
        <w:t>实现预算编制与绩效目标有效挂钩。按照《预算法》及其实施条例的相关规定，一是积极争取财政支持，力争预算安排年初一次到位；二是对跨年度项目，根据资金需求年度计划，分年度安排预算，确保预算与执行同步；及时查明实际执行与预算目标之间的偏差，持续提升预算执行精准度。参考上一年的预算执行情况和年度的收支预测科学编制预算，避免年中大幅追加以及超预算。</w:t>
      </w:r>
    </w:p>
    <w:p w14:paraId="7DDF4A51">
      <w:pPr>
        <w:spacing w:line="592" w:lineRule="exact"/>
        <w:ind w:firstLine="640" w:firstLineChars="200"/>
        <w:rPr>
          <w:rFonts w:hint="eastAsia" w:eastAsia="楷体_GB2312"/>
          <w:b/>
          <w:bCs/>
          <w:sz w:val="32"/>
          <w:szCs w:val="24"/>
          <w:highlight w:val="none"/>
          <w:lang w:val="en-US"/>
        </w:rPr>
      </w:pPr>
      <w:r>
        <w:rPr>
          <w:rFonts w:hint="eastAsia" w:eastAsia="楷体_GB2312"/>
          <w:b/>
          <w:bCs/>
          <w:sz w:val="32"/>
          <w:szCs w:val="24"/>
          <w:highlight w:val="none"/>
          <w:lang w:eastAsia="zh-CN"/>
        </w:rPr>
        <w:t>（</w:t>
      </w:r>
      <w:r>
        <w:rPr>
          <w:rFonts w:hint="eastAsia" w:eastAsia="楷体_GB2312"/>
          <w:b/>
          <w:bCs/>
          <w:sz w:val="32"/>
          <w:szCs w:val="24"/>
          <w:highlight w:val="none"/>
          <w:lang w:val="en-US" w:eastAsia="zh-CN"/>
        </w:rPr>
        <w:t>三</w:t>
      </w:r>
      <w:r>
        <w:rPr>
          <w:rFonts w:hint="eastAsia" w:eastAsia="楷体_GB2312"/>
          <w:b/>
          <w:bCs/>
          <w:sz w:val="32"/>
          <w:szCs w:val="24"/>
          <w:highlight w:val="none"/>
          <w:lang w:eastAsia="zh-CN"/>
        </w:rPr>
        <w:t>）</w:t>
      </w:r>
      <w:r>
        <w:rPr>
          <w:rFonts w:hint="eastAsia" w:eastAsia="楷体_GB2312"/>
          <w:b/>
          <w:bCs/>
          <w:sz w:val="32"/>
          <w:szCs w:val="24"/>
          <w:highlight w:val="none"/>
          <w:lang w:val="en-US"/>
        </w:rPr>
        <w:t>合理安排资金，加快支出进度</w:t>
      </w:r>
    </w:p>
    <w:p w14:paraId="7B85835F">
      <w:pPr>
        <w:spacing w:line="592" w:lineRule="exact"/>
        <w:ind w:firstLine="640" w:firstLineChars="200"/>
        <w:rPr>
          <w:rFonts w:hint="eastAsia" w:eastAsia="仿宋_GB2312"/>
          <w:sz w:val="32"/>
          <w:szCs w:val="32"/>
          <w:highlight w:val="none"/>
          <w:lang w:eastAsia="zh-CN"/>
        </w:rPr>
      </w:pPr>
      <w:r>
        <w:rPr>
          <w:rFonts w:hint="eastAsia" w:eastAsia="仿宋_GB2312"/>
          <w:sz w:val="32"/>
          <w:szCs w:val="32"/>
          <w:highlight w:val="none"/>
        </w:rPr>
        <w:t>加大预算执行管控力度，常态化开展预算执行情况分析，实时掌握预算执行进度，统筹安排各类资金使用顺序，盘活用好财政资金。年初下达的基本支出预算及时用款，足额保障单位正常运转；项目支出预算要加快执行，根据项目实施进度合法、合规、及时办理资金支付手续。尤其是</w:t>
      </w:r>
      <w:r>
        <w:rPr>
          <w:rFonts w:hint="eastAsia" w:eastAsia="仿宋_GB2312"/>
          <w:color w:val="auto"/>
          <w:sz w:val="32"/>
          <w:szCs w:val="32"/>
          <w:highlight w:val="none"/>
          <w:lang w:val="en-US" w:eastAsia="zh-CN"/>
        </w:rPr>
        <w:t>就业专项</w:t>
      </w:r>
      <w:r>
        <w:rPr>
          <w:rFonts w:hint="eastAsia" w:eastAsia="仿宋_GB2312"/>
          <w:color w:val="auto"/>
          <w:sz w:val="32"/>
          <w:szCs w:val="32"/>
          <w:highlight w:val="none"/>
        </w:rPr>
        <w:t>省级配套资金</w:t>
      </w:r>
      <w:r>
        <w:rPr>
          <w:rFonts w:hint="eastAsia" w:eastAsia="仿宋_GB2312"/>
          <w:sz w:val="32"/>
          <w:szCs w:val="32"/>
          <w:highlight w:val="none"/>
        </w:rPr>
        <w:t>尽快明确进度时间表，切实加快项目实施进度。</w:t>
      </w:r>
    </w:p>
    <w:p w14:paraId="7F09C2E1">
      <w:pPr>
        <w:pStyle w:val="2"/>
        <w:keepNext w:val="0"/>
        <w:keepLines w:val="0"/>
        <w:pageBreakBefore w:val="0"/>
        <w:widowControl w:val="0"/>
        <w:numPr>
          <w:ilvl w:val="0"/>
          <w:numId w:val="1"/>
        </w:numPr>
        <w:kinsoku/>
        <w:wordWrap/>
        <w:overflowPunct/>
        <w:topLinePunct w:val="0"/>
        <w:bidi w:val="0"/>
        <w:adjustRightInd/>
        <w:snapToGrid/>
        <w:spacing w:line="592" w:lineRule="exact"/>
        <w:ind w:firstLine="640"/>
        <w:textAlignment w:val="auto"/>
        <w:rPr>
          <w:rFonts w:eastAsia="黑体"/>
          <w:b w:val="0"/>
          <w:bCs w:val="0"/>
          <w:kern w:val="2"/>
          <w:sz w:val="32"/>
          <w:szCs w:val="24"/>
          <w:highlight w:val="none"/>
        </w:rPr>
      </w:pPr>
      <w:bookmarkStart w:id="61" w:name="_Toc167115835"/>
      <w:bookmarkStart w:id="62" w:name="_Toc195797094"/>
      <w:r>
        <w:rPr>
          <w:rFonts w:hint="eastAsia" w:eastAsia="黑体"/>
          <w:b w:val="0"/>
          <w:bCs w:val="0"/>
          <w:kern w:val="2"/>
          <w:sz w:val="32"/>
          <w:szCs w:val="24"/>
          <w:highlight w:val="none"/>
        </w:rPr>
        <w:t>绩效自评结果拟应用和公开情况</w:t>
      </w:r>
      <w:bookmarkEnd w:id="61"/>
      <w:bookmarkEnd w:id="62"/>
    </w:p>
    <w:p w14:paraId="34861C10">
      <w:pPr>
        <w:keepNext w:val="0"/>
        <w:keepLines w:val="0"/>
        <w:pageBreakBefore w:val="0"/>
        <w:widowControl w:val="0"/>
        <w:kinsoku/>
        <w:wordWrap/>
        <w:overflowPunct/>
        <w:topLinePunct w:val="0"/>
        <w:bidi w:val="0"/>
        <w:adjustRightInd/>
        <w:snapToGrid/>
        <w:spacing w:line="592" w:lineRule="exact"/>
        <w:ind w:firstLine="640" w:firstLineChars="200"/>
        <w:textAlignment w:val="auto"/>
        <w:rPr>
          <w:rFonts w:eastAsia="仿宋_GB2312"/>
          <w:sz w:val="32"/>
          <w:szCs w:val="32"/>
          <w:highlight w:val="none"/>
        </w:rPr>
      </w:pPr>
      <w:r>
        <w:rPr>
          <w:rFonts w:hint="eastAsia" w:eastAsia="仿宋_GB2312"/>
          <w:sz w:val="32"/>
          <w:szCs w:val="32"/>
          <w:highlight w:val="none"/>
        </w:rPr>
        <w:t>通过对202</w:t>
      </w:r>
      <w:r>
        <w:rPr>
          <w:rFonts w:hint="eastAsia" w:eastAsia="仿宋_GB2312"/>
          <w:sz w:val="32"/>
          <w:szCs w:val="32"/>
          <w:highlight w:val="none"/>
          <w:lang w:val="en-US" w:eastAsia="zh-CN"/>
        </w:rPr>
        <w:t>5</w:t>
      </w:r>
      <w:r>
        <w:rPr>
          <w:rFonts w:hint="eastAsia" w:eastAsia="仿宋_GB2312"/>
          <w:sz w:val="32"/>
          <w:szCs w:val="32"/>
          <w:highlight w:val="none"/>
        </w:rPr>
        <w:t>年部门整体支出的绩效自评工作，对照《部门整体支出绩效评价指标评分表》，我们对全厅整体支出情况有了一个完整、全面的了解，在下一步工作中，将对做得好的方面继续保持和发扬，对做得还不够完善的方面加以改进，真正把绩效自评结果运用到实际工作中，对标看齐。本报告将在我厅门户网站进行公开，接受社会监督。</w:t>
      </w:r>
    </w:p>
    <w:p w14:paraId="0AFE122C">
      <w:pPr>
        <w:spacing w:line="592" w:lineRule="exact"/>
        <w:rPr>
          <w:rFonts w:hint="eastAsia" w:ascii="仿宋_GB2312" w:eastAsia="仿宋_GB2312"/>
          <w:kern w:val="0"/>
          <w:sz w:val="32"/>
          <w:szCs w:val="32"/>
        </w:rPr>
      </w:pPr>
    </w:p>
    <w:p w14:paraId="7110985F">
      <w:pPr>
        <w:spacing w:line="592" w:lineRule="exact"/>
        <w:rPr>
          <w:rFonts w:hint="eastAsia" w:ascii="仿宋_GB2312" w:eastAsia="仿宋_GB2312"/>
          <w:kern w:val="0"/>
          <w:sz w:val="32"/>
          <w:szCs w:val="32"/>
        </w:rPr>
      </w:pPr>
    </w:p>
    <w:p w14:paraId="7278DBC3">
      <w:pPr>
        <w:spacing w:line="592" w:lineRule="exact"/>
        <w:rPr>
          <w:rFonts w:hint="eastAsia" w:ascii="仿宋_GB2312" w:eastAsia="仿宋_GB2312"/>
          <w:kern w:val="0"/>
          <w:sz w:val="32"/>
          <w:szCs w:val="32"/>
        </w:rPr>
      </w:pPr>
    </w:p>
    <w:p w14:paraId="0DFC8E55">
      <w:pPr>
        <w:spacing w:line="592" w:lineRule="exact"/>
        <w:ind w:firstLine="640" w:firstLineChars="200"/>
        <w:rPr>
          <w:rFonts w:ascii="仿宋_GB2312" w:eastAsia="仿宋_GB2312"/>
          <w:kern w:val="0"/>
          <w:sz w:val="32"/>
          <w:szCs w:val="32"/>
        </w:rPr>
      </w:pPr>
      <w:r>
        <w:rPr>
          <w:rFonts w:hint="eastAsia" w:ascii="仿宋_GB2312" w:eastAsia="仿宋_GB2312"/>
          <w:kern w:val="0"/>
          <w:sz w:val="32"/>
          <w:szCs w:val="32"/>
        </w:rPr>
        <w:t>附件：</w:t>
      </w:r>
    </w:p>
    <w:p w14:paraId="2CED0622">
      <w:pPr>
        <w:spacing w:line="592" w:lineRule="exact"/>
        <w:ind w:firstLine="640" w:firstLineChars="200"/>
        <w:rPr>
          <w:rFonts w:eastAsia="仿宋_GB2312"/>
          <w:kern w:val="0"/>
          <w:sz w:val="32"/>
          <w:szCs w:val="32"/>
        </w:rPr>
      </w:pPr>
      <w:r>
        <w:rPr>
          <w:rFonts w:hint="eastAsia" w:eastAsia="仿宋_GB2312"/>
          <w:kern w:val="0"/>
          <w:sz w:val="32"/>
          <w:szCs w:val="32"/>
        </w:rPr>
        <w:t>1．部门整体支出绩效评价基础数据表</w:t>
      </w:r>
    </w:p>
    <w:p w14:paraId="1C11031F">
      <w:pPr>
        <w:spacing w:line="592" w:lineRule="exact"/>
        <w:ind w:firstLine="640" w:firstLineChars="200"/>
        <w:jc w:val="left"/>
        <w:rPr>
          <w:rFonts w:eastAsia="仿宋_GB2312"/>
          <w:kern w:val="0"/>
          <w:sz w:val="32"/>
          <w:szCs w:val="32"/>
        </w:rPr>
      </w:pPr>
      <w:r>
        <w:rPr>
          <w:rFonts w:hint="eastAsia" w:eastAsia="仿宋_GB2312"/>
          <w:kern w:val="0"/>
          <w:sz w:val="32"/>
          <w:szCs w:val="32"/>
        </w:rPr>
        <w:t>2．部门整体支出绩效评价自评表</w:t>
      </w:r>
    </w:p>
    <w:p w14:paraId="53B17BA6">
      <w:pPr>
        <w:spacing w:line="592" w:lineRule="exact"/>
        <w:ind w:firstLine="640" w:firstLineChars="200"/>
        <w:jc w:val="left"/>
        <w:rPr>
          <w:rFonts w:eastAsia="仿宋_GB2312"/>
          <w:kern w:val="0"/>
          <w:sz w:val="32"/>
          <w:szCs w:val="32"/>
        </w:rPr>
      </w:pPr>
      <w:r>
        <w:rPr>
          <w:rFonts w:hint="eastAsia" w:eastAsia="仿宋_GB2312"/>
          <w:kern w:val="0"/>
          <w:sz w:val="32"/>
          <w:szCs w:val="32"/>
        </w:rPr>
        <w:t>3．业务工作经费支出绩效自评表</w:t>
      </w:r>
    </w:p>
    <w:p w14:paraId="5AE182C5">
      <w:pPr>
        <w:spacing w:line="592" w:lineRule="exact"/>
        <w:ind w:firstLine="640" w:firstLineChars="200"/>
        <w:jc w:val="left"/>
        <w:rPr>
          <w:rFonts w:eastAsia="仿宋_GB2312"/>
          <w:kern w:val="0"/>
          <w:sz w:val="32"/>
          <w:szCs w:val="32"/>
        </w:rPr>
      </w:pPr>
      <w:r>
        <w:rPr>
          <w:rFonts w:hint="eastAsia" w:eastAsia="仿宋_GB2312"/>
          <w:kern w:val="0"/>
          <w:sz w:val="32"/>
          <w:szCs w:val="32"/>
        </w:rPr>
        <w:t>4．运行维护经费支出绩效自评表</w:t>
      </w:r>
    </w:p>
    <w:p w14:paraId="186295E3">
      <w:pPr>
        <w:spacing w:line="592" w:lineRule="exact"/>
        <w:ind w:firstLine="640" w:firstLineChars="200"/>
        <w:jc w:val="left"/>
        <w:rPr>
          <w:rFonts w:eastAsia="仿宋_GB2312"/>
          <w:kern w:val="0"/>
          <w:sz w:val="32"/>
          <w:szCs w:val="32"/>
        </w:rPr>
      </w:pPr>
      <w:r>
        <w:rPr>
          <w:rFonts w:hint="eastAsia" w:eastAsia="仿宋_GB2312"/>
          <w:kern w:val="0"/>
          <w:sz w:val="32"/>
          <w:szCs w:val="32"/>
        </w:rPr>
        <w:t>5．其他事业发展项目支出绩效自评表</w:t>
      </w:r>
    </w:p>
    <w:p w14:paraId="21A88C9D">
      <w:pPr>
        <w:pStyle w:val="4"/>
        <w:spacing w:line="592" w:lineRule="exact"/>
        <w:ind w:firstLine="3840" w:firstLineChars="1200"/>
        <w:rPr>
          <w:rFonts w:ascii="仿宋_GB2312" w:eastAsia="仿宋_GB2312"/>
          <w:kern w:val="0"/>
          <w:sz w:val="32"/>
          <w:szCs w:val="32"/>
        </w:rPr>
      </w:pPr>
    </w:p>
    <w:p w14:paraId="5A273155">
      <w:pPr>
        <w:pStyle w:val="4"/>
        <w:spacing w:line="592" w:lineRule="exact"/>
        <w:ind w:firstLine="3840" w:firstLineChars="1200"/>
        <w:rPr>
          <w:rFonts w:ascii="仿宋_GB2312" w:eastAsia="仿宋_GB2312"/>
          <w:kern w:val="0"/>
          <w:sz w:val="32"/>
          <w:szCs w:val="32"/>
        </w:rPr>
      </w:pPr>
      <w:r>
        <w:rPr>
          <w:rFonts w:hint="eastAsia" w:ascii="仿宋_GB2312" w:eastAsia="仿宋_GB2312"/>
          <w:kern w:val="0"/>
          <w:sz w:val="32"/>
          <w:szCs w:val="32"/>
        </w:rPr>
        <w:t>湖南省人力资源和社会保障厅</w:t>
      </w:r>
    </w:p>
    <w:p w14:paraId="2C9C82F7">
      <w:pPr>
        <w:pStyle w:val="4"/>
        <w:spacing w:line="592" w:lineRule="exact"/>
        <w:ind w:firstLine="4640" w:firstLineChars="1450"/>
        <w:rPr>
          <w:rFonts w:ascii="仿宋_GB2312" w:eastAsia="仿宋_GB2312"/>
          <w:kern w:val="0"/>
          <w:sz w:val="32"/>
          <w:szCs w:val="32"/>
        </w:rPr>
      </w:pPr>
      <w:r>
        <w:rPr>
          <w:rFonts w:hint="eastAsia" w:eastAsia="仿宋_GB2312"/>
          <w:kern w:val="0"/>
          <w:sz w:val="32"/>
          <w:szCs w:val="32"/>
        </w:rPr>
        <w:t>202</w:t>
      </w:r>
      <w:r>
        <w:rPr>
          <w:rFonts w:hint="eastAsia" w:eastAsia="仿宋_GB2312"/>
          <w:kern w:val="0"/>
          <w:sz w:val="32"/>
          <w:szCs w:val="32"/>
          <w:lang w:val="en-US" w:eastAsia="zh-CN"/>
        </w:rPr>
        <w:t>6</w:t>
      </w:r>
      <w:r>
        <w:rPr>
          <w:rFonts w:hint="eastAsia" w:ascii="仿宋_GB2312" w:eastAsia="仿宋_GB2312"/>
          <w:kern w:val="0"/>
          <w:sz w:val="32"/>
          <w:szCs w:val="32"/>
        </w:rPr>
        <w:t>年</w:t>
      </w:r>
      <w:r>
        <w:rPr>
          <w:rFonts w:hint="eastAsia" w:eastAsia="仿宋_GB2312"/>
          <w:kern w:val="0"/>
          <w:sz w:val="32"/>
          <w:szCs w:val="32"/>
          <w:lang w:val="en-US" w:eastAsia="zh-CN"/>
        </w:rPr>
        <w:t>5</w:t>
      </w:r>
      <w:r>
        <w:rPr>
          <w:rFonts w:hint="eastAsia" w:ascii="仿宋_GB2312" w:eastAsia="仿宋_GB2312"/>
          <w:kern w:val="0"/>
          <w:sz w:val="32"/>
          <w:szCs w:val="32"/>
        </w:rPr>
        <w:t>月1</w:t>
      </w:r>
      <w:r>
        <w:rPr>
          <w:rFonts w:hint="eastAsia" w:ascii="仿宋_GB2312" w:eastAsia="仿宋_GB2312"/>
          <w:kern w:val="0"/>
          <w:sz w:val="32"/>
          <w:szCs w:val="32"/>
          <w:lang w:val="en-US" w:eastAsia="zh-CN"/>
        </w:rPr>
        <w:t>0</w:t>
      </w:r>
      <w:r>
        <w:rPr>
          <w:rFonts w:hint="eastAsia" w:ascii="仿宋_GB2312" w:eastAsia="仿宋_GB2312"/>
          <w:kern w:val="0"/>
          <w:sz w:val="32"/>
          <w:szCs w:val="32"/>
        </w:rPr>
        <w:t>日</w:t>
      </w:r>
    </w:p>
    <w:sectPr>
      <w:footerReference r:id="rId5" w:type="default"/>
      <w:pgSz w:w="11906" w:h="16838"/>
      <w:pgMar w:top="1440" w:right="1797" w:bottom="1440" w:left="1797" w:header="851"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0D7281-9BCB-41BB-AD3D-6A02020A2499}"/>
  </w:font>
  <w:font w:name="Arial">
    <w:panose1 w:val="020B0604020202020204"/>
    <w:charset w:val="01"/>
    <w:family w:val="swiss"/>
    <w:pitch w:val="default"/>
    <w:sig w:usb0="E0002EFF" w:usb1="C000785B" w:usb2="00000009" w:usb3="00000000" w:csb0="400001FF" w:csb1="FFFF0000"/>
    <w:embedRegular r:id="rId2" w:fontKey="{B1D4492B-96D3-4240-839B-9F243979C509}"/>
  </w:font>
  <w:font w:name="黑体">
    <w:panose1 w:val="02010609060101010101"/>
    <w:charset w:val="86"/>
    <w:family w:val="auto"/>
    <w:pitch w:val="default"/>
    <w:sig w:usb0="800002BF" w:usb1="38CF7CFA" w:usb2="00000016" w:usb3="00000000" w:csb0="00040001" w:csb1="00000000"/>
    <w:embedRegular r:id="rId3" w:fontKey="{DB245815-3975-4C2A-864A-F56F8DD0E6A8}"/>
  </w:font>
  <w:font w:name="Courier New">
    <w:panose1 w:val="02070309020205020404"/>
    <w:charset w:val="01"/>
    <w:family w:val="modern"/>
    <w:pitch w:val="default"/>
    <w:sig w:usb0="E0002EFF" w:usb1="C0007843" w:usb2="00000009" w:usb3="00000000" w:csb0="400001FF" w:csb1="FFFF0000"/>
    <w:embedRegular r:id="rId4" w:fontKey="{9BEA7451-48D7-4B09-9594-B8B927BF8313}"/>
  </w:font>
  <w:font w:name="Symbol">
    <w:panose1 w:val="05050102010706020507"/>
    <w:charset w:val="02"/>
    <w:family w:val="roman"/>
    <w:pitch w:val="default"/>
    <w:sig w:usb0="00000000" w:usb1="00000000" w:usb2="00000000" w:usb3="00000000" w:csb0="80000000" w:csb1="00000000"/>
    <w:embedRegular r:id="rId5" w:fontKey="{98FE964E-AF82-4D42-A458-DA8DBE68223E}"/>
  </w:font>
  <w:font w:name="Calibri">
    <w:panose1 w:val="020F0502020204030204"/>
    <w:charset w:val="00"/>
    <w:family w:val="swiss"/>
    <w:pitch w:val="default"/>
    <w:sig w:usb0="E4002EFF" w:usb1="C200247B" w:usb2="00000009" w:usb3="00000000" w:csb0="200001FF" w:csb1="00000000"/>
    <w:embedRegular r:id="rId6" w:fontKey="{A6914714-994B-47F8-B746-387CB65FFFD9}"/>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73E2DA1F-C0BE-4C8E-9E14-A4B2762CFFCC}"/>
  </w:font>
  <w:font w:name="仿宋_GB2312">
    <w:panose1 w:val="02010609030101010101"/>
    <w:charset w:val="86"/>
    <w:family w:val="modern"/>
    <w:pitch w:val="default"/>
    <w:sig w:usb0="00000001" w:usb1="080E0000" w:usb2="00000000" w:usb3="00000000" w:csb0="00040000" w:csb1="00000000"/>
    <w:embedRegular r:id="rId8" w:fontKey="{51297C37-1085-4FD7-98D2-4244EE1FFBCC}"/>
  </w:font>
  <w:font w:name="Cambria">
    <w:panose1 w:val="02040503050406030204"/>
    <w:charset w:val="00"/>
    <w:family w:val="roman"/>
    <w:pitch w:val="default"/>
    <w:sig w:usb0="E00006FF" w:usb1="420024FF" w:usb2="02000000" w:usb3="00000000" w:csb0="2000019F" w:csb1="00000000"/>
    <w:embedRegular r:id="rId9" w:fontKey="{EA9BE945-0E2D-4FB8-866E-409D2A500638}"/>
  </w:font>
  <w:font w:name="方正小标宋GBK">
    <w:altName w:val="宋体"/>
    <w:panose1 w:val="00000000000000000000"/>
    <w:charset w:val="86"/>
    <w:family w:val="roman"/>
    <w:pitch w:val="default"/>
    <w:sig w:usb0="00000000" w:usb1="00000000" w:usb2="00000000" w:usb3="00000000" w:csb0="00000000" w:csb1="00000000"/>
    <w:embedRegular r:id="rId10" w:fontKey="{FDCE34A1-B1BF-47E5-A735-A03602EB46E3}"/>
  </w:font>
  <w:font w:name="方正小标宋_GBK">
    <w:panose1 w:val="03000509000000000000"/>
    <w:charset w:val="86"/>
    <w:family w:val="script"/>
    <w:pitch w:val="default"/>
    <w:sig w:usb0="00000001" w:usb1="080E0000" w:usb2="00000000" w:usb3="00000000" w:csb0="00040001" w:csb1="00000000"/>
    <w:embedRegular r:id="rId11" w:fontKey="{5D8DC34D-3AFA-4C72-A634-D603462B1E15}"/>
  </w:font>
  <w:font w:name="楷体_GB2312">
    <w:panose1 w:val="02010609030101010101"/>
    <w:charset w:val="86"/>
    <w:family w:val="modern"/>
    <w:pitch w:val="default"/>
    <w:sig w:usb0="00000001" w:usb1="080E0000" w:usb2="00000000" w:usb3="00000000" w:csb0="00040000" w:csb1="00000000"/>
    <w:embedRegular r:id="rId12" w:fontKey="{AE2DFFB0-0125-4790-BBC3-2B4DDE04C9BC}"/>
  </w:font>
  <w:font w:name="仿宋">
    <w:panose1 w:val="02010609060101010101"/>
    <w:charset w:val="86"/>
    <w:family w:val="modern"/>
    <w:pitch w:val="default"/>
    <w:sig w:usb0="800002BF" w:usb1="38CF7CFA" w:usb2="00000016" w:usb3="00000000" w:csb0="00040001" w:csb1="00000000"/>
    <w:embedRegular r:id="rId13" w:fontKey="{21F912EE-2F44-4AA9-8AA1-88882C272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93291">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40215">
    <w:pPr>
      <w:pStyle w:val="10"/>
      <w:jc w:val="center"/>
    </w:pPr>
    <w:r>
      <w:fldChar w:fldCharType="begin"/>
    </w:r>
    <w:r>
      <w:instrText xml:space="preserve">PAGE   \* MERGEFORMAT</w:instrText>
    </w:r>
    <w:r>
      <w:fldChar w:fldCharType="separate"/>
    </w:r>
    <w:r>
      <w:rPr>
        <w:lang w:val="zh-CN"/>
      </w:rPr>
      <w:t>22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EA37A">
    <w:pPr>
      <w:pStyle w:val="11"/>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77A7C3"/>
    <w:multiLevelType w:val="singleLevel"/>
    <w:tmpl w:val="6477A7C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B34"/>
    <w:rsid w:val="00002146"/>
    <w:rsid w:val="000047E5"/>
    <w:rsid w:val="000166F8"/>
    <w:rsid w:val="00036D19"/>
    <w:rsid w:val="00036F4B"/>
    <w:rsid w:val="000422A6"/>
    <w:rsid w:val="00042824"/>
    <w:rsid w:val="00042995"/>
    <w:rsid w:val="00044DE3"/>
    <w:rsid w:val="00050AA2"/>
    <w:rsid w:val="000548AD"/>
    <w:rsid w:val="00054C4C"/>
    <w:rsid w:val="000552F6"/>
    <w:rsid w:val="00062045"/>
    <w:rsid w:val="0006409C"/>
    <w:rsid w:val="00075CEF"/>
    <w:rsid w:val="000804C2"/>
    <w:rsid w:val="000815D9"/>
    <w:rsid w:val="00082E11"/>
    <w:rsid w:val="000833C9"/>
    <w:rsid w:val="00084493"/>
    <w:rsid w:val="00084877"/>
    <w:rsid w:val="000915A4"/>
    <w:rsid w:val="0009520D"/>
    <w:rsid w:val="00097C6D"/>
    <w:rsid w:val="000A07BE"/>
    <w:rsid w:val="000A15D5"/>
    <w:rsid w:val="000A279B"/>
    <w:rsid w:val="000A2B9E"/>
    <w:rsid w:val="000A785D"/>
    <w:rsid w:val="000B018A"/>
    <w:rsid w:val="000B0E78"/>
    <w:rsid w:val="000B140D"/>
    <w:rsid w:val="000B24C6"/>
    <w:rsid w:val="000B3D0C"/>
    <w:rsid w:val="000B47EC"/>
    <w:rsid w:val="000B55F0"/>
    <w:rsid w:val="000C0313"/>
    <w:rsid w:val="000C4911"/>
    <w:rsid w:val="000C52AF"/>
    <w:rsid w:val="000C5FF9"/>
    <w:rsid w:val="000D52C3"/>
    <w:rsid w:val="000D57E0"/>
    <w:rsid w:val="000D5FD6"/>
    <w:rsid w:val="000E2080"/>
    <w:rsid w:val="000E3A70"/>
    <w:rsid w:val="000E420F"/>
    <w:rsid w:val="000E45B4"/>
    <w:rsid w:val="000E5F13"/>
    <w:rsid w:val="000E5F21"/>
    <w:rsid w:val="000E6A34"/>
    <w:rsid w:val="000E7054"/>
    <w:rsid w:val="001004F4"/>
    <w:rsid w:val="001024B1"/>
    <w:rsid w:val="001042B5"/>
    <w:rsid w:val="00106B0B"/>
    <w:rsid w:val="001122FF"/>
    <w:rsid w:val="001159E9"/>
    <w:rsid w:val="00115D35"/>
    <w:rsid w:val="001200BF"/>
    <w:rsid w:val="0012286F"/>
    <w:rsid w:val="00124CA4"/>
    <w:rsid w:val="00145201"/>
    <w:rsid w:val="00146530"/>
    <w:rsid w:val="0015095B"/>
    <w:rsid w:val="0015157C"/>
    <w:rsid w:val="00156128"/>
    <w:rsid w:val="00156374"/>
    <w:rsid w:val="001568B6"/>
    <w:rsid w:val="001704CB"/>
    <w:rsid w:val="00171867"/>
    <w:rsid w:val="00171B7C"/>
    <w:rsid w:val="00171DF9"/>
    <w:rsid w:val="0017498A"/>
    <w:rsid w:val="001755FB"/>
    <w:rsid w:val="00176AFE"/>
    <w:rsid w:val="001774A0"/>
    <w:rsid w:val="00184C23"/>
    <w:rsid w:val="001902E6"/>
    <w:rsid w:val="0019290C"/>
    <w:rsid w:val="00194058"/>
    <w:rsid w:val="001A0F41"/>
    <w:rsid w:val="001A2D15"/>
    <w:rsid w:val="001A305F"/>
    <w:rsid w:val="001A6277"/>
    <w:rsid w:val="001B0FF7"/>
    <w:rsid w:val="001B2EF2"/>
    <w:rsid w:val="001C209B"/>
    <w:rsid w:val="001C306E"/>
    <w:rsid w:val="001C598C"/>
    <w:rsid w:val="001C5DCF"/>
    <w:rsid w:val="001D21C8"/>
    <w:rsid w:val="001D28A8"/>
    <w:rsid w:val="001D3BF3"/>
    <w:rsid w:val="001D40F1"/>
    <w:rsid w:val="001D6169"/>
    <w:rsid w:val="001E159B"/>
    <w:rsid w:val="001E1D85"/>
    <w:rsid w:val="001F7153"/>
    <w:rsid w:val="00200EB1"/>
    <w:rsid w:val="00201530"/>
    <w:rsid w:val="002023C3"/>
    <w:rsid w:val="00203038"/>
    <w:rsid w:val="0020539F"/>
    <w:rsid w:val="002076C7"/>
    <w:rsid w:val="00212A90"/>
    <w:rsid w:val="00220285"/>
    <w:rsid w:val="00222ADD"/>
    <w:rsid w:val="00224CBB"/>
    <w:rsid w:val="00227078"/>
    <w:rsid w:val="00230EF6"/>
    <w:rsid w:val="00234A85"/>
    <w:rsid w:val="002353B7"/>
    <w:rsid w:val="00242E92"/>
    <w:rsid w:val="00243A1B"/>
    <w:rsid w:val="00244B5E"/>
    <w:rsid w:val="00244CC8"/>
    <w:rsid w:val="002457A2"/>
    <w:rsid w:val="0025029B"/>
    <w:rsid w:val="00251E41"/>
    <w:rsid w:val="00255A80"/>
    <w:rsid w:val="00255E2E"/>
    <w:rsid w:val="00257AF8"/>
    <w:rsid w:val="0026252C"/>
    <w:rsid w:val="0026394B"/>
    <w:rsid w:val="0026409C"/>
    <w:rsid w:val="002641F0"/>
    <w:rsid w:val="00273675"/>
    <w:rsid w:val="00273F46"/>
    <w:rsid w:val="002760EC"/>
    <w:rsid w:val="00284ACD"/>
    <w:rsid w:val="00284E4E"/>
    <w:rsid w:val="00285E3D"/>
    <w:rsid w:val="00291BB1"/>
    <w:rsid w:val="00292C51"/>
    <w:rsid w:val="002A2BC5"/>
    <w:rsid w:val="002A58E2"/>
    <w:rsid w:val="002B0120"/>
    <w:rsid w:val="002B4C9A"/>
    <w:rsid w:val="002B6A13"/>
    <w:rsid w:val="002B6A24"/>
    <w:rsid w:val="002C0E00"/>
    <w:rsid w:val="002C3409"/>
    <w:rsid w:val="002C38F5"/>
    <w:rsid w:val="002C73AF"/>
    <w:rsid w:val="002D0817"/>
    <w:rsid w:val="002D2C16"/>
    <w:rsid w:val="002D49D2"/>
    <w:rsid w:val="002D5E73"/>
    <w:rsid w:val="002D689A"/>
    <w:rsid w:val="002E1FDE"/>
    <w:rsid w:val="002E2200"/>
    <w:rsid w:val="002E5E09"/>
    <w:rsid w:val="002E691B"/>
    <w:rsid w:val="002E7284"/>
    <w:rsid w:val="002F1515"/>
    <w:rsid w:val="002F426C"/>
    <w:rsid w:val="002F7169"/>
    <w:rsid w:val="00300B2C"/>
    <w:rsid w:val="00301BFC"/>
    <w:rsid w:val="00303A33"/>
    <w:rsid w:val="003049DE"/>
    <w:rsid w:val="003074F3"/>
    <w:rsid w:val="00311581"/>
    <w:rsid w:val="003130CE"/>
    <w:rsid w:val="00315BC6"/>
    <w:rsid w:val="003207A4"/>
    <w:rsid w:val="0032175E"/>
    <w:rsid w:val="00322E30"/>
    <w:rsid w:val="00323498"/>
    <w:rsid w:val="0032755A"/>
    <w:rsid w:val="003305D2"/>
    <w:rsid w:val="0033123E"/>
    <w:rsid w:val="003312AF"/>
    <w:rsid w:val="00333C80"/>
    <w:rsid w:val="0033463A"/>
    <w:rsid w:val="00334CF9"/>
    <w:rsid w:val="00340BE8"/>
    <w:rsid w:val="003427A4"/>
    <w:rsid w:val="00343126"/>
    <w:rsid w:val="003440E3"/>
    <w:rsid w:val="003470C3"/>
    <w:rsid w:val="00350980"/>
    <w:rsid w:val="003519BC"/>
    <w:rsid w:val="00353FD5"/>
    <w:rsid w:val="00365006"/>
    <w:rsid w:val="003652EA"/>
    <w:rsid w:val="00365959"/>
    <w:rsid w:val="003718FC"/>
    <w:rsid w:val="00382A27"/>
    <w:rsid w:val="0038398A"/>
    <w:rsid w:val="00394BB3"/>
    <w:rsid w:val="00394DAE"/>
    <w:rsid w:val="00395900"/>
    <w:rsid w:val="00395B3F"/>
    <w:rsid w:val="003964B3"/>
    <w:rsid w:val="003A124D"/>
    <w:rsid w:val="003A15F4"/>
    <w:rsid w:val="003A194A"/>
    <w:rsid w:val="003A40E3"/>
    <w:rsid w:val="003A65F7"/>
    <w:rsid w:val="003A6D53"/>
    <w:rsid w:val="003B23E4"/>
    <w:rsid w:val="003B2DB0"/>
    <w:rsid w:val="003B39EC"/>
    <w:rsid w:val="003B4FA6"/>
    <w:rsid w:val="003B6010"/>
    <w:rsid w:val="003C1AB0"/>
    <w:rsid w:val="003D095C"/>
    <w:rsid w:val="003D291A"/>
    <w:rsid w:val="003D4D1A"/>
    <w:rsid w:val="003D5B81"/>
    <w:rsid w:val="003D6A77"/>
    <w:rsid w:val="003D6BFA"/>
    <w:rsid w:val="003E32B4"/>
    <w:rsid w:val="003E4C9D"/>
    <w:rsid w:val="003E5D6D"/>
    <w:rsid w:val="003F062C"/>
    <w:rsid w:val="003F2891"/>
    <w:rsid w:val="003F38B0"/>
    <w:rsid w:val="003F5980"/>
    <w:rsid w:val="003F70B3"/>
    <w:rsid w:val="003F7DB5"/>
    <w:rsid w:val="00410CAA"/>
    <w:rsid w:val="004126B7"/>
    <w:rsid w:val="0041620D"/>
    <w:rsid w:val="0041667A"/>
    <w:rsid w:val="00421338"/>
    <w:rsid w:val="0042175A"/>
    <w:rsid w:val="00422485"/>
    <w:rsid w:val="004242AD"/>
    <w:rsid w:val="00430722"/>
    <w:rsid w:val="00435A7B"/>
    <w:rsid w:val="004401B9"/>
    <w:rsid w:val="004429FB"/>
    <w:rsid w:val="00442EBD"/>
    <w:rsid w:val="00444917"/>
    <w:rsid w:val="00450F5D"/>
    <w:rsid w:val="00453C36"/>
    <w:rsid w:val="0045473C"/>
    <w:rsid w:val="0046139C"/>
    <w:rsid w:val="00465918"/>
    <w:rsid w:val="00472F79"/>
    <w:rsid w:val="004737C9"/>
    <w:rsid w:val="00473B12"/>
    <w:rsid w:val="004807A9"/>
    <w:rsid w:val="00483C98"/>
    <w:rsid w:val="00491D6C"/>
    <w:rsid w:val="00493EE2"/>
    <w:rsid w:val="004944E2"/>
    <w:rsid w:val="0049454B"/>
    <w:rsid w:val="00495E97"/>
    <w:rsid w:val="004A09D2"/>
    <w:rsid w:val="004B1095"/>
    <w:rsid w:val="004B2527"/>
    <w:rsid w:val="004B2F8D"/>
    <w:rsid w:val="004B5352"/>
    <w:rsid w:val="004B6A7E"/>
    <w:rsid w:val="004B7AB2"/>
    <w:rsid w:val="004C1D8A"/>
    <w:rsid w:val="004C539F"/>
    <w:rsid w:val="004C768F"/>
    <w:rsid w:val="004D07C6"/>
    <w:rsid w:val="004D2140"/>
    <w:rsid w:val="004D2DCC"/>
    <w:rsid w:val="004D3F4F"/>
    <w:rsid w:val="004D4838"/>
    <w:rsid w:val="004E1319"/>
    <w:rsid w:val="004E16A1"/>
    <w:rsid w:val="004E5AD0"/>
    <w:rsid w:val="004E73B9"/>
    <w:rsid w:val="004F4FDE"/>
    <w:rsid w:val="004F519A"/>
    <w:rsid w:val="0050079A"/>
    <w:rsid w:val="00501175"/>
    <w:rsid w:val="00504BA9"/>
    <w:rsid w:val="005158B7"/>
    <w:rsid w:val="005200BB"/>
    <w:rsid w:val="005373E1"/>
    <w:rsid w:val="00537FFE"/>
    <w:rsid w:val="00550AF1"/>
    <w:rsid w:val="00553204"/>
    <w:rsid w:val="00555998"/>
    <w:rsid w:val="005560E5"/>
    <w:rsid w:val="00556575"/>
    <w:rsid w:val="00557E2D"/>
    <w:rsid w:val="00563BC5"/>
    <w:rsid w:val="00564A79"/>
    <w:rsid w:val="00571E24"/>
    <w:rsid w:val="00574AA5"/>
    <w:rsid w:val="00575AEA"/>
    <w:rsid w:val="00580561"/>
    <w:rsid w:val="00583EAF"/>
    <w:rsid w:val="00592AA7"/>
    <w:rsid w:val="0059396A"/>
    <w:rsid w:val="00595D1E"/>
    <w:rsid w:val="005A024F"/>
    <w:rsid w:val="005A0D0C"/>
    <w:rsid w:val="005A25EE"/>
    <w:rsid w:val="005A4581"/>
    <w:rsid w:val="005A5A88"/>
    <w:rsid w:val="005B2C93"/>
    <w:rsid w:val="005B65DD"/>
    <w:rsid w:val="005B6740"/>
    <w:rsid w:val="005B70D0"/>
    <w:rsid w:val="005C1B47"/>
    <w:rsid w:val="005C56BC"/>
    <w:rsid w:val="005C6F1F"/>
    <w:rsid w:val="005C74E2"/>
    <w:rsid w:val="005D1C86"/>
    <w:rsid w:val="005D4479"/>
    <w:rsid w:val="005E01ED"/>
    <w:rsid w:val="005E2115"/>
    <w:rsid w:val="005E2DEE"/>
    <w:rsid w:val="005F33A0"/>
    <w:rsid w:val="006031A7"/>
    <w:rsid w:val="0060701C"/>
    <w:rsid w:val="00611DF1"/>
    <w:rsid w:val="00614A6E"/>
    <w:rsid w:val="006172C9"/>
    <w:rsid w:val="00624062"/>
    <w:rsid w:val="00630450"/>
    <w:rsid w:val="00633E29"/>
    <w:rsid w:val="006351A3"/>
    <w:rsid w:val="00635530"/>
    <w:rsid w:val="006414C4"/>
    <w:rsid w:val="00643778"/>
    <w:rsid w:val="0064517A"/>
    <w:rsid w:val="00647089"/>
    <w:rsid w:val="00653E86"/>
    <w:rsid w:val="00654244"/>
    <w:rsid w:val="00654C1E"/>
    <w:rsid w:val="00660FFD"/>
    <w:rsid w:val="00666134"/>
    <w:rsid w:val="00666623"/>
    <w:rsid w:val="00666B96"/>
    <w:rsid w:val="00666CB0"/>
    <w:rsid w:val="00680CC2"/>
    <w:rsid w:val="006859C6"/>
    <w:rsid w:val="0068622E"/>
    <w:rsid w:val="006873D7"/>
    <w:rsid w:val="006944D7"/>
    <w:rsid w:val="006960F8"/>
    <w:rsid w:val="00697DF5"/>
    <w:rsid w:val="006A0A63"/>
    <w:rsid w:val="006A0D0F"/>
    <w:rsid w:val="006A56DA"/>
    <w:rsid w:val="006A5879"/>
    <w:rsid w:val="006B17E8"/>
    <w:rsid w:val="006C325A"/>
    <w:rsid w:val="006C51C0"/>
    <w:rsid w:val="006C7A16"/>
    <w:rsid w:val="006D1BEA"/>
    <w:rsid w:val="006D36A6"/>
    <w:rsid w:val="006D3780"/>
    <w:rsid w:val="006D4D81"/>
    <w:rsid w:val="006D784E"/>
    <w:rsid w:val="006E1B16"/>
    <w:rsid w:val="006E1B4E"/>
    <w:rsid w:val="006E7ACF"/>
    <w:rsid w:val="006F2D5B"/>
    <w:rsid w:val="006F6CD1"/>
    <w:rsid w:val="007020CD"/>
    <w:rsid w:val="007037A4"/>
    <w:rsid w:val="00707404"/>
    <w:rsid w:val="00707D39"/>
    <w:rsid w:val="00711712"/>
    <w:rsid w:val="00712D0F"/>
    <w:rsid w:val="007140CA"/>
    <w:rsid w:val="00716DA4"/>
    <w:rsid w:val="00717794"/>
    <w:rsid w:val="00717854"/>
    <w:rsid w:val="00726C64"/>
    <w:rsid w:val="007277B3"/>
    <w:rsid w:val="0073638B"/>
    <w:rsid w:val="0074325F"/>
    <w:rsid w:val="00743715"/>
    <w:rsid w:val="00744870"/>
    <w:rsid w:val="0074491C"/>
    <w:rsid w:val="00745D0B"/>
    <w:rsid w:val="00746A37"/>
    <w:rsid w:val="00746F43"/>
    <w:rsid w:val="0075027F"/>
    <w:rsid w:val="00753BED"/>
    <w:rsid w:val="007572A6"/>
    <w:rsid w:val="00760445"/>
    <w:rsid w:val="0076567F"/>
    <w:rsid w:val="00765809"/>
    <w:rsid w:val="00781713"/>
    <w:rsid w:val="0079012E"/>
    <w:rsid w:val="0079261D"/>
    <w:rsid w:val="00793143"/>
    <w:rsid w:val="0079757F"/>
    <w:rsid w:val="007A04B1"/>
    <w:rsid w:val="007A3B66"/>
    <w:rsid w:val="007A7EA6"/>
    <w:rsid w:val="007B2DDA"/>
    <w:rsid w:val="007B462F"/>
    <w:rsid w:val="007C0244"/>
    <w:rsid w:val="007C3C8E"/>
    <w:rsid w:val="007C5E99"/>
    <w:rsid w:val="007C673F"/>
    <w:rsid w:val="007C6A35"/>
    <w:rsid w:val="007C7D43"/>
    <w:rsid w:val="007D0A16"/>
    <w:rsid w:val="007D1382"/>
    <w:rsid w:val="007D185F"/>
    <w:rsid w:val="007D35EE"/>
    <w:rsid w:val="007D37E5"/>
    <w:rsid w:val="007D714A"/>
    <w:rsid w:val="007E0487"/>
    <w:rsid w:val="007E1623"/>
    <w:rsid w:val="007E29D7"/>
    <w:rsid w:val="007E3516"/>
    <w:rsid w:val="007E4003"/>
    <w:rsid w:val="007E44DF"/>
    <w:rsid w:val="007E7531"/>
    <w:rsid w:val="007F18B1"/>
    <w:rsid w:val="007F3964"/>
    <w:rsid w:val="007F486B"/>
    <w:rsid w:val="007F4942"/>
    <w:rsid w:val="007F7BB5"/>
    <w:rsid w:val="00806121"/>
    <w:rsid w:val="00806B28"/>
    <w:rsid w:val="008077C8"/>
    <w:rsid w:val="00810526"/>
    <w:rsid w:val="00814D4B"/>
    <w:rsid w:val="00815900"/>
    <w:rsid w:val="00820360"/>
    <w:rsid w:val="008213AE"/>
    <w:rsid w:val="008217EE"/>
    <w:rsid w:val="00827642"/>
    <w:rsid w:val="00830F79"/>
    <w:rsid w:val="00833919"/>
    <w:rsid w:val="0083421E"/>
    <w:rsid w:val="008368B7"/>
    <w:rsid w:val="00841361"/>
    <w:rsid w:val="0084252E"/>
    <w:rsid w:val="0084301B"/>
    <w:rsid w:val="00846ADC"/>
    <w:rsid w:val="008472FF"/>
    <w:rsid w:val="00854468"/>
    <w:rsid w:val="00857BA9"/>
    <w:rsid w:val="00865C33"/>
    <w:rsid w:val="00866083"/>
    <w:rsid w:val="00867B4D"/>
    <w:rsid w:val="0087116E"/>
    <w:rsid w:val="00872F0D"/>
    <w:rsid w:val="00874E63"/>
    <w:rsid w:val="008805F4"/>
    <w:rsid w:val="0088153F"/>
    <w:rsid w:val="00884DE8"/>
    <w:rsid w:val="008859AF"/>
    <w:rsid w:val="00886A6B"/>
    <w:rsid w:val="008879B2"/>
    <w:rsid w:val="008925BA"/>
    <w:rsid w:val="00895D5D"/>
    <w:rsid w:val="008966A3"/>
    <w:rsid w:val="008973E9"/>
    <w:rsid w:val="008A0828"/>
    <w:rsid w:val="008A0B31"/>
    <w:rsid w:val="008A1FE9"/>
    <w:rsid w:val="008A23FC"/>
    <w:rsid w:val="008A7E49"/>
    <w:rsid w:val="008B3920"/>
    <w:rsid w:val="008B4327"/>
    <w:rsid w:val="008B7147"/>
    <w:rsid w:val="008B7818"/>
    <w:rsid w:val="008C0652"/>
    <w:rsid w:val="008C068C"/>
    <w:rsid w:val="008C334A"/>
    <w:rsid w:val="008C3426"/>
    <w:rsid w:val="008C5489"/>
    <w:rsid w:val="008C6E64"/>
    <w:rsid w:val="008D1198"/>
    <w:rsid w:val="008E0EE9"/>
    <w:rsid w:val="008E37FB"/>
    <w:rsid w:val="008E3F52"/>
    <w:rsid w:val="008E5300"/>
    <w:rsid w:val="008F0279"/>
    <w:rsid w:val="00906067"/>
    <w:rsid w:val="00912450"/>
    <w:rsid w:val="00913CC7"/>
    <w:rsid w:val="0091472E"/>
    <w:rsid w:val="0091722F"/>
    <w:rsid w:val="00920378"/>
    <w:rsid w:val="00922B87"/>
    <w:rsid w:val="00923511"/>
    <w:rsid w:val="00927298"/>
    <w:rsid w:val="009324B6"/>
    <w:rsid w:val="00934D6E"/>
    <w:rsid w:val="00935E48"/>
    <w:rsid w:val="009367D4"/>
    <w:rsid w:val="00937769"/>
    <w:rsid w:val="00937AAC"/>
    <w:rsid w:val="0094169B"/>
    <w:rsid w:val="00946FDF"/>
    <w:rsid w:val="00947A87"/>
    <w:rsid w:val="0095022D"/>
    <w:rsid w:val="00950D9C"/>
    <w:rsid w:val="009544D6"/>
    <w:rsid w:val="0095641D"/>
    <w:rsid w:val="00956DC6"/>
    <w:rsid w:val="00962008"/>
    <w:rsid w:val="00964DD9"/>
    <w:rsid w:val="00965BE8"/>
    <w:rsid w:val="00965CDF"/>
    <w:rsid w:val="0097005D"/>
    <w:rsid w:val="009705A7"/>
    <w:rsid w:val="009713BD"/>
    <w:rsid w:val="00974326"/>
    <w:rsid w:val="00974F95"/>
    <w:rsid w:val="009761DF"/>
    <w:rsid w:val="00981EC0"/>
    <w:rsid w:val="009838C0"/>
    <w:rsid w:val="009859DC"/>
    <w:rsid w:val="00990BBF"/>
    <w:rsid w:val="009922DB"/>
    <w:rsid w:val="009925A3"/>
    <w:rsid w:val="00992C0C"/>
    <w:rsid w:val="0099628E"/>
    <w:rsid w:val="009A0F9B"/>
    <w:rsid w:val="009A1406"/>
    <w:rsid w:val="009A18CF"/>
    <w:rsid w:val="009A6EB9"/>
    <w:rsid w:val="009B39A7"/>
    <w:rsid w:val="009B3DF0"/>
    <w:rsid w:val="009B78C6"/>
    <w:rsid w:val="009C1B80"/>
    <w:rsid w:val="009C33CE"/>
    <w:rsid w:val="009C387F"/>
    <w:rsid w:val="009C48A3"/>
    <w:rsid w:val="009C69F9"/>
    <w:rsid w:val="009C6FC8"/>
    <w:rsid w:val="009D0006"/>
    <w:rsid w:val="009D0BDC"/>
    <w:rsid w:val="009D25FA"/>
    <w:rsid w:val="009D6747"/>
    <w:rsid w:val="009D7924"/>
    <w:rsid w:val="009E0BB0"/>
    <w:rsid w:val="009E14E4"/>
    <w:rsid w:val="009E2E98"/>
    <w:rsid w:val="009E3400"/>
    <w:rsid w:val="009F0DB6"/>
    <w:rsid w:val="009F33FE"/>
    <w:rsid w:val="009F52C1"/>
    <w:rsid w:val="009F67CF"/>
    <w:rsid w:val="00A036B2"/>
    <w:rsid w:val="00A15181"/>
    <w:rsid w:val="00A17D66"/>
    <w:rsid w:val="00A2197E"/>
    <w:rsid w:val="00A22F01"/>
    <w:rsid w:val="00A24C78"/>
    <w:rsid w:val="00A24C9E"/>
    <w:rsid w:val="00A25DE5"/>
    <w:rsid w:val="00A27107"/>
    <w:rsid w:val="00A30024"/>
    <w:rsid w:val="00A3020E"/>
    <w:rsid w:val="00A33781"/>
    <w:rsid w:val="00A3411E"/>
    <w:rsid w:val="00A365EF"/>
    <w:rsid w:val="00A36D2E"/>
    <w:rsid w:val="00A37848"/>
    <w:rsid w:val="00A42099"/>
    <w:rsid w:val="00A427B3"/>
    <w:rsid w:val="00A45704"/>
    <w:rsid w:val="00A5006F"/>
    <w:rsid w:val="00A52CE7"/>
    <w:rsid w:val="00A54B0D"/>
    <w:rsid w:val="00A561C6"/>
    <w:rsid w:val="00A56625"/>
    <w:rsid w:val="00A720E9"/>
    <w:rsid w:val="00A74689"/>
    <w:rsid w:val="00A75D05"/>
    <w:rsid w:val="00A75E0F"/>
    <w:rsid w:val="00A763E4"/>
    <w:rsid w:val="00A8191E"/>
    <w:rsid w:val="00A835EF"/>
    <w:rsid w:val="00A85A1A"/>
    <w:rsid w:val="00A900B7"/>
    <w:rsid w:val="00A90767"/>
    <w:rsid w:val="00A946E1"/>
    <w:rsid w:val="00A96C7F"/>
    <w:rsid w:val="00A97AA0"/>
    <w:rsid w:val="00AA172D"/>
    <w:rsid w:val="00AA2AD9"/>
    <w:rsid w:val="00AB1DF9"/>
    <w:rsid w:val="00AB30E5"/>
    <w:rsid w:val="00AB5EF6"/>
    <w:rsid w:val="00AC490E"/>
    <w:rsid w:val="00AC49E7"/>
    <w:rsid w:val="00AD2D95"/>
    <w:rsid w:val="00AD49EE"/>
    <w:rsid w:val="00AD52C9"/>
    <w:rsid w:val="00AE056D"/>
    <w:rsid w:val="00AE151C"/>
    <w:rsid w:val="00AE7161"/>
    <w:rsid w:val="00AF125F"/>
    <w:rsid w:val="00AF686E"/>
    <w:rsid w:val="00B0023F"/>
    <w:rsid w:val="00B00BE6"/>
    <w:rsid w:val="00B018CC"/>
    <w:rsid w:val="00B100B0"/>
    <w:rsid w:val="00B101AE"/>
    <w:rsid w:val="00B11822"/>
    <w:rsid w:val="00B11CF4"/>
    <w:rsid w:val="00B1275D"/>
    <w:rsid w:val="00B12D3B"/>
    <w:rsid w:val="00B14A73"/>
    <w:rsid w:val="00B14DD8"/>
    <w:rsid w:val="00B15161"/>
    <w:rsid w:val="00B15206"/>
    <w:rsid w:val="00B245B4"/>
    <w:rsid w:val="00B25111"/>
    <w:rsid w:val="00B30A3F"/>
    <w:rsid w:val="00B33469"/>
    <w:rsid w:val="00B37785"/>
    <w:rsid w:val="00B42262"/>
    <w:rsid w:val="00B45CF2"/>
    <w:rsid w:val="00B52FFD"/>
    <w:rsid w:val="00B53007"/>
    <w:rsid w:val="00B53AB6"/>
    <w:rsid w:val="00B72D08"/>
    <w:rsid w:val="00B7365E"/>
    <w:rsid w:val="00B73B41"/>
    <w:rsid w:val="00B802B9"/>
    <w:rsid w:val="00B80A64"/>
    <w:rsid w:val="00B81B55"/>
    <w:rsid w:val="00B83818"/>
    <w:rsid w:val="00B83EBE"/>
    <w:rsid w:val="00B8526E"/>
    <w:rsid w:val="00B86AAB"/>
    <w:rsid w:val="00B904BB"/>
    <w:rsid w:val="00B91535"/>
    <w:rsid w:val="00B93967"/>
    <w:rsid w:val="00B93FB3"/>
    <w:rsid w:val="00BA2C90"/>
    <w:rsid w:val="00BB35A5"/>
    <w:rsid w:val="00BB385A"/>
    <w:rsid w:val="00BB670E"/>
    <w:rsid w:val="00BB746D"/>
    <w:rsid w:val="00BC2B49"/>
    <w:rsid w:val="00BC46B4"/>
    <w:rsid w:val="00BC539B"/>
    <w:rsid w:val="00BC6666"/>
    <w:rsid w:val="00BC6BE2"/>
    <w:rsid w:val="00BC775B"/>
    <w:rsid w:val="00BD5198"/>
    <w:rsid w:val="00BD5415"/>
    <w:rsid w:val="00BD6479"/>
    <w:rsid w:val="00BD7300"/>
    <w:rsid w:val="00BF0E80"/>
    <w:rsid w:val="00BF21C4"/>
    <w:rsid w:val="00BF7125"/>
    <w:rsid w:val="00C03195"/>
    <w:rsid w:val="00C0588F"/>
    <w:rsid w:val="00C075C6"/>
    <w:rsid w:val="00C0785E"/>
    <w:rsid w:val="00C13055"/>
    <w:rsid w:val="00C1387B"/>
    <w:rsid w:val="00C14703"/>
    <w:rsid w:val="00C1692B"/>
    <w:rsid w:val="00C23AAA"/>
    <w:rsid w:val="00C2430C"/>
    <w:rsid w:val="00C24A54"/>
    <w:rsid w:val="00C27FDD"/>
    <w:rsid w:val="00C4477A"/>
    <w:rsid w:val="00C45A1D"/>
    <w:rsid w:val="00C465B6"/>
    <w:rsid w:val="00C46762"/>
    <w:rsid w:val="00C519DC"/>
    <w:rsid w:val="00C52919"/>
    <w:rsid w:val="00C53B34"/>
    <w:rsid w:val="00C53CB4"/>
    <w:rsid w:val="00C53F94"/>
    <w:rsid w:val="00C568A7"/>
    <w:rsid w:val="00C57A42"/>
    <w:rsid w:val="00C610A6"/>
    <w:rsid w:val="00C63871"/>
    <w:rsid w:val="00C63BF5"/>
    <w:rsid w:val="00C64B1C"/>
    <w:rsid w:val="00C70B45"/>
    <w:rsid w:val="00C72113"/>
    <w:rsid w:val="00C738D6"/>
    <w:rsid w:val="00C81798"/>
    <w:rsid w:val="00C84D1B"/>
    <w:rsid w:val="00C86A05"/>
    <w:rsid w:val="00C874FB"/>
    <w:rsid w:val="00C9370F"/>
    <w:rsid w:val="00CA294C"/>
    <w:rsid w:val="00CA30A7"/>
    <w:rsid w:val="00CA3D32"/>
    <w:rsid w:val="00CA492E"/>
    <w:rsid w:val="00CA5D5C"/>
    <w:rsid w:val="00CB2F01"/>
    <w:rsid w:val="00CB3A39"/>
    <w:rsid w:val="00CB4942"/>
    <w:rsid w:val="00CB4F3F"/>
    <w:rsid w:val="00CB6AC1"/>
    <w:rsid w:val="00CB7464"/>
    <w:rsid w:val="00CB7BC3"/>
    <w:rsid w:val="00CC4C4E"/>
    <w:rsid w:val="00CC7205"/>
    <w:rsid w:val="00CD1C56"/>
    <w:rsid w:val="00CD3A76"/>
    <w:rsid w:val="00CD6749"/>
    <w:rsid w:val="00CD6D68"/>
    <w:rsid w:val="00CE2A28"/>
    <w:rsid w:val="00CE3425"/>
    <w:rsid w:val="00CF00FF"/>
    <w:rsid w:val="00CF0553"/>
    <w:rsid w:val="00CF0A5D"/>
    <w:rsid w:val="00CF2969"/>
    <w:rsid w:val="00CF46B7"/>
    <w:rsid w:val="00D0031C"/>
    <w:rsid w:val="00D0369C"/>
    <w:rsid w:val="00D038B6"/>
    <w:rsid w:val="00D10857"/>
    <w:rsid w:val="00D10EB6"/>
    <w:rsid w:val="00D14F6F"/>
    <w:rsid w:val="00D259D7"/>
    <w:rsid w:val="00D25D49"/>
    <w:rsid w:val="00D25E7A"/>
    <w:rsid w:val="00D34A24"/>
    <w:rsid w:val="00D363F0"/>
    <w:rsid w:val="00D43770"/>
    <w:rsid w:val="00D43FE0"/>
    <w:rsid w:val="00D44944"/>
    <w:rsid w:val="00D45BC6"/>
    <w:rsid w:val="00D5010A"/>
    <w:rsid w:val="00D56A10"/>
    <w:rsid w:val="00D5761C"/>
    <w:rsid w:val="00D61D0A"/>
    <w:rsid w:val="00D620C3"/>
    <w:rsid w:val="00D632D9"/>
    <w:rsid w:val="00D64328"/>
    <w:rsid w:val="00D644F3"/>
    <w:rsid w:val="00D66364"/>
    <w:rsid w:val="00D70AE9"/>
    <w:rsid w:val="00D72064"/>
    <w:rsid w:val="00D736A9"/>
    <w:rsid w:val="00D74199"/>
    <w:rsid w:val="00D74C64"/>
    <w:rsid w:val="00D80D17"/>
    <w:rsid w:val="00D81B18"/>
    <w:rsid w:val="00D85998"/>
    <w:rsid w:val="00D90524"/>
    <w:rsid w:val="00D90EE5"/>
    <w:rsid w:val="00D947E7"/>
    <w:rsid w:val="00D955AB"/>
    <w:rsid w:val="00DA6F5B"/>
    <w:rsid w:val="00DB0538"/>
    <w:rsid w:val="00DB1813"/>
    <w:rsid w:val="00DB7535"/>
    <w:rsid w:val="00DC0CF0"/>
    <w:rsid w:val="00DC28B5"/>
    <w:rsid w:val="00DC4615"/>
    <w:rsid w:val="00DD4B39"/>
    <w:rsid w:val="00DE0882"/>
    <w:rsid w:val="00DE60FA"/>
    <w:rsid w:val="00DE63ED"/>
    <w:rsid w:val="00DE6472"/>
    <w:rsid w:val="00DE6D62"/>
    <w:rsid w:val="00DE79A4"/>
    <w:rsid w:val="00DF0A37"/>
    <w:rsid w:val="00DF3693"/>
    <w:rsid w:val="00DF5A8F"/>
    <w:rsid w:val="00E05397"/>
    <w:rsid w:val="00E11925"/>
    <w:rsid w:val="00E1216E"/>
    <w:rsid w:val="00E17459"/>
    <w:rsid w:val="00E17E57"/>
    <w:rsid w:val="00E20612"/>
    <w:rsid w:val="00E20EBA"/>
    <w:rsid w:val="00E351ED"/>
    <w:rsid w:val="00E35485"/>
    <w:rsid w:val="00E37664"/>
    <w:rsid w:val="00E43199"/>
    <w:rsid w:val="00E4379E"/>
    <w:rsid w:val="00E46F2D"/>
    <w:rsid w:val="00E50264"/>
    <w:rsid w:val="00E5134C"/>
    <w:rsid w:val="00E518BD"/>
    <w:rsid w:val="00E51962"/>
    <w:rsid w:val="00E526D3"/>
    <w:rsid w:val="00E54C29"/>
    <w:rsid w:val="00E56630"/>
    <w:rsid w:val="00E566A1"/>
    <w:rsid w:val="00E60CDE"/>
    <w:rsid w:val="00E61BCB"/>
    <w:rsid w:val="00E61FB9"/>
    <w:rsid w:val="00E62409"/>
    <w:rsid w:val="00E65158"/>
    <w:rsid w:val="00E7193E"/>
    <w:rsid w:val="00E73BBA"/>
    <w:rsid w:val="00E802F3"/>
    <w:rsid w:val="00E834D1"/>
    <w:rsid w:val="00E83630"/>
    <w:rsid w:val="00E836BD"/>
    <w:rsid w:val="00E84A86"/>
    <w:rsid w:val="00E8528F"/>
    <w:rsid w:val="00E87A61"/>
    <w:rsid w:val="00E93214"/>
    <w:rsid w:val="00E97B21"/>
    <w:rsid w:val="00EA4C3F"/>
    <w:rsid w:val="00EA5711"/>
    <w:rsid w:val="00EA67A8"/>
    <w:rsid w:val="00EA6E91"/>
    <w:rsid w:val="00EB0FD9"/>
    <w:rsid w:val="00EB12C6"/>
    <w:rsid w:val="00EB3801"/>
    <w:rsid w:val="00EC24F7"/>
    <w:rsid w:val="00EC3019"/>
    <w:rsid w:val="00EC64C9"/>
    <w:rsid w:val="00EC7965"/>
    <w:rsid w:val="00ED09B5"/>
    <w:rsid w:val="00EE0F16"/>
    <w:rsid w:val="00EE1411"/>
    <w:rsid w:val="00EE1A17"/>
    <w:rsid w:val="00EE1AF9"/>
    <w:rsid w:val="00EE3539"/>
    <w:rsid w:val="00EE4AC5"/>
    <w:rsid w:val="00EE7CFB"/>
    <w:rsid w:val="00EF1D2A"/>
    <w:rsid w:val="00EF2981"/>
    <w:rsid w:val="00EF3A33"/>
    <w:rsid w:val="00EF3D60"/>
    <w:rsid w:val="00EF696E"/>
    <w:rsid w:val="00F00272"/>
    <w:rsid w:val="00F03BCC"/>
    <w:rsid w:val="00F138A2"/>
    <w:rsid w:val="00F204E0"/>
    <w:rsid w:val="00F21F65"/>
    <w:rsid w:val="00F264E9"/>
    <w:rsid w:val="00F27592"/>
    <w:rsid w:val="00F27D35"/>
    <w:rsid w:val="00F3485F"/>
    <w:rsid w:val="00F34CA0"/>
    <w:rsid w:val="00F34CEA"/>
    <w:rsid w:val="00F357EC"/>
    <w:rsid w:val="00F370C4"/>
    <w:rsid w:val="00F37E0A"/>
    <w:rsid w:val="00F42E55"/>
    <w:rsid w:val="00F430F9"/>
    <w:rsid w:val="00F43F56"/>
    <w:rsid w:val="00F46296"/>
    <w:rsid w:val="00F52171"/>
    <w:rsid w:val="00F53123"/>
    <w:rsid w:val="00F5417C"/>
    <w:rsid w:val="00F542CD"/>
    <w:rsid w:val="00F55446"/>
    <w:rsid w:val="00F60EE6"/>
    <w:rsid w:val="00F61983"/>
    <w:rsid w:val="00F61E90"/>
    <w:rsid w:val="00F65991"/>
    <w:rsid w:val="00F66540"/>
    <w:rsid w:val="00F719B9"/>
    <w:rsid w:val="00F71E45"/>
    <w:rsid w:val="00F763BD"/>
    <w:rsid w:val="00F77955"/>
    <w:rsid w:val="00F80A4B"/>
    <w:rsid w:val="00F80D01"/>
    <w:rsid w:val="00F80D85"/>
    <w:rsid w:val="00F86754"/>
    <w:rsid w:val="00F916AF"/>
    <w:rsid w:val="00F95DBD"/>
    <w:rsid w:val="00F97436"/>
    <w:rsid w:val="00FA2589"/>
    <w:rsid w:val="00FA69AB"/>
    <w:rsid w:val="00FA713C"/>
    <w:rsid w:val="00FB30FD"/>
    <w:rsid w:val="00FB65CF"/>
    <w:rsid w:val="00FB721C"/>
    <w:rsid w:val="00FC1E98"/>
    <w:rsid w:val="00FC4FAC"/>
    <w:rsid w:val="00FE0951"/>
    <w:rsid w:val="00FE2E77"/>
    <w:rsid w:val="00FE4815"/>
    <w:rsid w:val="00FE507B"/>
    <w:rsid w:val="00FE578C"/>
    <w:rsid w:val="00FE6264"/>
    <w:rsid w:val="00FE7DBD"/>
    <w:rsid w:val="00FF138B"/>
    <w:rsid w:val="00FF2D4D"/>
    <w:rsid w:val="00FF4824"/>
    <w:rsid w:val="00FF6FF3"/>
    <w:rsid w:val="00FF7A3B"/>
    <w:rsid w:val="02315D47"/>
    <w:rsid w:val="02E24CF0"/>
    <w:rsid w:val="03962305"/>
    <w:rsid w:val="03C54999"/>
    <w:rsid w:val="047F0FEB"/>
    <w:rsid w:val="056F72B2"/>
    <w:rsid w:val="057228FE"/>
    <w:rsid w:val="0638782B"/>
    <w:rsid w:val="06506B01"/>
    <w:rsid w:val="0722584D"/>
    <w:rsid w:val="07D37407"/>
    <w:rsid w:val="08057A5A"/>
    <w:rsid w:val="086C5D2B"/>
    <w:rsid w:val="090F2640"/>
    <w:rsid w:val="096D1D5A"/>
    <w:rsid w:val="0A68723B"/>
    <w:rsid w:val="0A9D03F6"/>
    <w:rsid w:val="0B1306DF"/>
    <w:rsid w:val="0B4B60CB"/>
    <w:rsid w:val="0DB55A7E"/>
    <w:rsid w:val="0F595A74"/>
    <w:rsid w:val="105A290D"/>
    <w:rsid w:val="121F3E0E"/>
    <w:rsid w:val="12A549E0"/>
    <w:rsid w:val="13E66F5C"/>
    <w:rsid w:val="14076C1A"/>
    <w:rsid w:val="143A3B6F"/>
    <w:rsid w:val="14863937"/>
    <w:rsid w:val="155A67CD"/>
    <w:rsid w:val="155D39A7"/>
    <w:rsid w:val="1640418C"/>
    <w:rsid w:val="16B54D41"/>
    <w:rsid w:val="17A16B78"/>
    <w:rsid w:val="18F41B50"/>
    <w:rsid w:val="19371A3D"/>
    <w:rsid w:val="196B2C61"/>
    <w:rsid w:val="1BF038C8"/>
    <w:rsid w:val="1C2B151E"/>
    <w:rsid w:val="1E51534F"/>
    <w:rsid w:val="1ECE40D8"/>
    <w:rsid w:val="202112DB"/>
    <w:rsid w:val="202A22FB"/>
    <w:rsid w:val="20482782"/>
    <w:rsid w:val="211508B6"/>
    <w:rsid w:val="21EE15CF"/>
    <w:rsid w:val="22812CEF"/>
    <w:rsid w:val="24724271"/>
    <w:rsid w:val="26753BA5"/>
    <w:rsid w:val="278A18D2"/>
    <w:rsid w:val="282C4737"/>
    <w:rsid w:val="28E55011"/>
    <w:rsid w:val="290C07F0"/>
    <w:rsid w:val="29B80978"/>
    <w:rsid w:val="2BB341C3"/>
    <w:rsid w:val="2BE23A8A"/>
    <w:rsid w:val="2C7C5C8D"/>
    <w:rsid w:val="2DB651CE"/>
    <w:rsid w:val="2E2178F6"/>
    <w:rsid w:val="2EC35DF5"/>
    <w:rsid w:val="2F4607D4"/>
    <w:rsid w:val="2F4A02C4"/>
    <w:rsid w:val="300F6E18"/>
    <w:rsid w:val="30470360"/>
    <w:rsid w:val="30975EAF"/>
    <w:rsid w:val="314B4B4B"/>
    <w:rsid w:val="31D76BE3"/>
    <w:rsid w:val="32CC7242"/>
    <w:rsid w:val="33D26ADA"/>
    <w:rsid w:val="353F24BB"/>
    <w:rsid w:val="35661288"/>
    <w:rsid w:val="36056CF3"/>
    <w:rsid w:val="367E0853"/>
    <w:rsid w:val="37F92887"/>
    <w:rsid w:val="38E17D08"/>
    <w:rsid w:val="3A092B2A"/>
    <w:rsid w:val="3A59585F"/>
    <w:rsid w:val="3B546F95"/>
    <w:rsid w:val="3C3E4D0D"/>
    <w:rsid w:val="3C6A5B02"/>
    <w:rsid w:val="3D8717FE"/>
    <w:rsid w:val="3F285E40"/>
    <w:rsid w:val="41322966"/>
    <w:rsid w:val="41E50BAA"/>
    <w:rsid w:val="42F26851"/>
    <w:rsid w:val="434150E2"/>
    <w:rsid w:val="45010FCD"/>
    <w:rsid w:val="454778DE"/>
    <w:rsid w:val="467D4684"/>
    <w:rsid w:val="470E5B90"/>
    <w:rsid w:val="488D428C"/>
    <w:rsid w:val="48AB3FE6"/>
    <w:rsid w:val="49142F9E"/>
    <w:rsid w:val="49CD68F5"/>
    <w:rsid w:val="49F27137"/>
    <w:rsid w:val="4A283FFC"/>
    <w:rsid w:val="4A604440"/>
    <w:rsid w:val="4A8A3813"/>
    <w:rsid w:val="4C261319"/>
    <w:rsid w:val="4E015B9A"/>
    <w:rsid w:val="4E22193F"/>
    <w:rsid w:val="4E233D62"/>
    <w:rsid w:val="4EB508DF"/>
    <w:rsid w:val="4ED84B4D"/>
    <w:rsid w:val="51255BEA"/>
    <w:rsid w:val="514F4E6E"/>
    <w:rsid w:val="51562339"/>
    <w:rsid w:val="52C26C61"/>
    <w:rsid w:val="546E7D01"/>
    <w:rsid w:val="56903F5F"/>
    <w:rsid w:val="576D42A0"/>
    <w:rsid w:val="57E5363B"/>
    <w:rsid w:val="58235247"/>
    <w:rsid w:val="588B70D4"/>
    <w:rsid w:val="59FD190B"/>
    <w:rsid w:val="5A094754"/>
    <w:rsid w:val="5B606A0C"/>
    <w:rsid w:val="5B694D7F"/>
    <w:rsid w:val="5BD14DFE"/>
    <w:rsid w:val="5C02145B"/>
    <w:rsid w:val="5D1C657F"/>
    <w:rsid w:val="5D6408C8"/>
    <w:rsid w:val="60793CB6"/>
    <w:rsid w:val="61B2747F"/>
    <w:rsid w:val="6209727D"/>
    <w:rsid w:val="63C86DC4"/>
    <w:rsid w:val="65C47781"/>
    <w:rsid w:val="66066779"/>
    <w:rsid w:val="663F14FE"/>
    <w:rsid w:val="673E3563"/>
    <w:rsid w:val="6A95327B"/>
    <w:rsid w:val="6ABA1153"/>
    <w:rsid w:val="6B364C7D"/>
    <w:rsid w:val="6BA51E03"/>
    <w:rsid w:val="6D667370"/>
    <w:rsid w:val="6DFD3B55"/>
    <w:rsid w:val="6F4D4C8B"/>
    <w:rsid w:val="71E568C9"/>
    <w:rsid w:val="73927111"/>
    <w:rsid w:val="74016013"/>
    <w:rsid w:val="74C741F1"/>
    <w:rsid w:val="74FD680C"/>
    <w:rsid w:val="755D35AF"/>
    <w:rsid w:val="75680129"/>
    <w:rsid w:val="77B533CE"/>
    <w:rsid w:val="79915775"/>
    <w:rsid w:val="7C727ADF"/>
    <w:rsid w:val="7C8F243F"/>
    <w:rsid w:val="7DD50326"/>
    <w:rsid w:val="7EBB576E"/>
    <w:rsid w:val="7EEF5417"/>
    <w:rsid w:val="7FDD171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99"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3"/>
    <w:qFormat/>
    <w:uiPriority w:val="9"/>
    <w:pPr>
      <w:keepNext/>
      <w:keepLines/>
      <w:ind w:firstLine="200" w:firstLineChars="200"/>
      <w:jc w:val="left"/>
      <w:outlineLvl w:val="0"/>
    </w:pPr>
    <w:rPr>
      <w:b/>
      <w:bCs/>
      <w:kern w:val="44"/>
      <w:sz w:val="28"/>
      <w:szCs w:val="44"/>
    </w:rPr>
  </w:style>
  <w:style w:type="paragraph" w:styleId="3">
    <w:name w:val="heading 2"/>
    <w:basedOn w:val="1"/>
    <w:next w:val="1"/>
    <w:link w:val="27"/>
    <w:qFormat/>
    <w:uiPriority w:val="9"/>
    <w:pPr>
      <w:keepNext/>
      <w:keepLines/>
      <w:ind w:firstLine="200" w:firstLineChars="200"/>
      <w:outlineLvl w:val="1"/>
    </w:pPr>
    <w:rPr>
      <w:rFonts w:ascii="等线 Light" w:hAnsi="等线 Light"/>
      <w:b/>
      <w:bCs/>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200" w:firstLineChars="200"/>
    </w:pPr>
  </w:style>
  <w:style w:type="paragraph" w:styleId="5">
    <w:name w:val="annotation text"/>
    <w:basedOn w:val="1"/>
    <w:link w:val="31"/>
    <w:semiHidden/>
    <w:unhideWhenUsed/>
    <w:qFormat/>
    <w:uiPriority w:val="99"/>
    <w:pPr>
      <w:jc w:val="left"/>
    </w:pPr>
  </w:style>
  <w:style w:type="paragraph" w:styleId="6">
    <w:name w:val="Body Text"/>
    <w:basedOn w:val="1"/>
    <w:next w:val="7"/>
    <w:autoRedefine/>
    <w:qFormat/>
    <w:uiPriority w:val="1"/>
    <w:pPr>
      <w:autoSpaceDE w:val="0"/>
      <w:autoSpaceDN w:val="0"/>
      <w:ind w:left="420"/>
      <w:jc w:val="left"/>
    </w:pPr>
    <w:rPr>
      <w:rFonts w:ascii="宋体" w:hAnsi="宋体" w:cs="宋体"/>
      <w:kern w:val="0"/>
      <w:sz w:val="32"/>
      <w:szCs w:val="32"/>
      <w:lang w:val="zh-CN" w:bidi="zh-CN"/>
    </w:rPr>
  </w:style>
  <w:style w:type="paragraph" w:styleId="7">
    <w:name w:val="index 7"/>
    <w:basedOn w:val="1"/>
    <w:next w:val="1"/>
    <w:qFormat/>
    <w:uiPriority w:val="99"/>
    <w:pPr>
      <w:ind w:left="2520"/>
    </w:pPr>
  </w:style>
  <w:style w:type="paragraph" w:styleId="8">
    <w:name w:val="toc 3"/>
    <w:basedOn w:val="1"/>
    <w:next w:val="1"/>
    <w:autoRedefine/>
    <w:unhideWhenUsed/>
    <w:qFormat/>
    <w:uiPriority w:val="39"/>
    <w:pPr>
      <w:widowControl/>
      <w:spacing w:after="100" w:line="259" w:lineRule="auto"/>
      <w:ind w:left="440"/>
      <w:jc w:val="left"/>
    </w:pPr>
    <w:rPr>
      <w:rFonts w:asciiTheme="minorHAnsi" w:hAnsiTheme="minorHAnsi" w:eastAsiaTheme="minorEastAsia"/>
      <w:kern w:val="0"/>
      <w:sz w:val="22"/>
    </w:rPr>
  </w:style>
  <w:style w:type="paragraph" w:styleId="9">
    <w:name w:val="Balloon Text"/>
    <w:basedOn w:val="1"/>
    <w:link w:val="30"/>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2"/>
    <w:next w:val="2"/>
    <w:autoRedefine/>
    <w:unhideWhenUsed/>
    <w:qFormat/>
    <w:uiPriority w:val="39"/>
    <w:pPr>
      <w:tabs>
        <w:tab w:val="right" w:leader="dot" w:pos="8296"/>
      </w:tabs>
      <w:ind w:firstLine="643"/>
      <w:outlineLvl w:val="1"/>
    </w:pPr>
    <w:rPr>
      <w:rFonts w:ascii="仿宋_GB2312" w:hAnsi="黑体" w:eastAsia="仿宋_GB2312"/>
      <w:sz w:val="32"/>
      <w:szCs w:val="32"/>
    </w:rPr>
  </w:style>
  <w:style w:type="paragraph" w:styleId="13">
    <w:name w:val="Subtitle"/>
    <w:basedOn w:val="1"/>
    <w:next w:val="1"/>
    <w:qFormat/>
    <w:uiPriority w:val="0"/>
    <w:pPr>
      <w:widowControl w:val="0"/>
      <w:adjustRightInd/>
      <w:snapToGrid/>
      <w:spacing w:before="240" w:after="60" w:line="312" w:lineRule="auto"/>
      <w:ind w:firstLine="0" w:firstLineChars="0"/>
      <w:jc w:val="center"/>
      <w:outlineLvl w:val="1"/>
    </w:pPr>
    <w:rPr>
      <w:rFonts w:ascii="Cambria" w:hAnsi="Cambria"/>
      <w:b/>
      <w:bCs/>
      <w:kern w:val="28"/>
      <w:sz w:val="32"/>
      <w:szCs w:val="32"/>
      <w:lang w:val="zh-CN"/>
    </w:rPr>
  </w:style>
  <w:style w:type="paragraph" w:styleId="14">
    <w:name w:val="toc 2"/>
    <w:basedOn w:val="1"/>
    <w:next w:val="1"/>
    <w:autoRedefine/>
    <w:unhideWhenUsed/>
    <w:qFormat/>
    <w:uiPriority w:val="39"/>
    <w:pPr>
      <w:tabs>
        <w:tab w:val="right" w:leader="dot" w:pos="8302"/>
      </w:tabs>
      <w:ind w:left="420" w:leftChars="200"/>
    </w:pPr>
    <w:rPr>
      <w:rFonts w:ascii="仿宋_GB2312" w:eastAsia="仿宋_GB2312"/>
      <w:sz w:val="32"/>
      <w:szCs w:val="32"/>
    </w:rPr>
  </w:style>
  <w:style w:type="paragraph" w:styleId="15">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6">
    <w:name w:val="annotation subject"/>
    <w:basedOn w:val="5"/>
    <w:next w:val="5"/>
    <w:link w:val="32"/>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paragraph" w:customStyle="1" w:styleId="22">
    <w:name w:val="首行缩进"/>
    <w:basedOn w:val="1"/>
    <w:qFormat/>
    <w:uiPriority w:val="0"/>
    <w:pPr>
      <w:ind w:firstLine="480" w:firstLineChars="200"/>
    </w:pPr>
    <w:rPr>
      <w:rFonts w:ascii="Times New Roman" w:hAnsi="Times New Roman" w:eastAsia="宋体" w:cs="Times New Roman"/>
      <w:lang w:val="zh-CN"/>
    </w:rPr>
  </w:style>
  <w:style w:type="character" w:customStyle="1" w:styleId="23">
    <w:name w:val="标题 1 字符"/>
    <w:basedOn w:val="19"/>
    <w:link w:val="2"/>
    <w:qFormat/>
    <w:uiPriority w:val="9"/>
    <w:rPr>
      <w:rFonts w:ascii="Times New Roman" w:hAnsi="Times New Roman" w:eastAsia="宋体" w:cs="Times New Roman"/>
      <w:b/>
      <w:bCs/>
      <w:kern w:val="44"/>
      <w:sz w:val="28"/>
      <w:szCs w:val="44"/>
    </w:rPr>
  </w:style>
  <w:style w:type="character" w:customStyle="1" w:styleId="24">
    <w:name w:val="页脚 字符"/>
    <w:basedOn w:val="19"/>
    <w:link w:val="10"/>
    <w:qFormat/>
    <w:uiPriority w:val="99"/>
    <w:rPr>
      <w:rFonts w:ascii="Times New Roman" w:hAnsi="Times New Roman" w:eastAsia="宋体" w:cs="Times New Roman"/>
      <w:sz w:val="18"/>
      <w:szCs w:val="18"/>
    </w:rPr>
  </w:style>
  <w:style w:type="character" w:customStyle="1" w:styleId="25">
    <w:name w:val="页脚 字符1"/>
    <w:qFormat/>
    <w:uiPriority w:val="99"/>
    <w:rPr>
      <w:sz w:val="18"/>
      <w:szCs w:val="18"/>
    </w:rPr>
  </w:style>
  <w:style w:type="character" w:customStyle="1" w:styleId="26">
    <w:name w:val="页眉 字符"/>
    <w:basedOn w:val="19"/>
    <w:link w:val="11"/>
    <w:qFormat/>
    <w:uiPriority w:val="99"/>
    <w:rPr>
      <w:rFonts w:ascii="Times New Roman" w:hAnsi="Times New Roman" w:eastAsia="宋体" w:cs="Times New Roman"/>
      <w:sz w:val="18"/>
      <w:szCs w:val="18"/>
    </w:rPr>
  </w:style>
  <w:style w:type="character" w:customStyle="1" w:styleId="27">
    <w:name w:val="标题 2 字符"/>
    <w:basedOn w:val="19"/>
    <w:link w:val="3"/>
    <w:qFormat/>
    <w:uiPriority w:val="9"/>
    <w:rPr>
      <w:rFonts w:ascii="等线 Light" w:hAnsi="等线 Light" w:eastAsia="宋体" w:cs="Times New Roman"/>
      <w:b/>
      <w:bCs/>
      <w:sz w:val="28"/>
      <w:szCs w:val="32"/>
    </w:rPr>
  </w:style>
  <w:style w:type="paragraph" w:styleId="28">
    <w:name w:val="List Paragraph"/>
    <w:basedOn w:val="1"/>
    <w:qFormat/>
    <w:uiPriority w:val="34"/>
    <w:pPr>
      <w:ind w:firstLine="420" w:firstLineChars="200"/>
    </w:pPr>
  </w:style>
  <w:style w:type="paragraph" w:customStyle="1" w:styleId="29">
    <w:name w:val="TOC 标题1"/>
    <w:basedOn w:val="2"/>
    <w:next w:val="1"/>
    <w:unhideWhenUsed/>
    <w:qFormat/>
    <w:uiPriority w:val="39"/>
    <w:pPr>
      <w:widowControl/>
      <w:spacing w:before="240" w:line="259" w:lineRule="auto"/>
      <w:ind w:firstLine="0" w:firstLineChars="0"/>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0">
    <w:name w:val="批注框文本 字符"/>
    <w:basedOn w:val="19"/>
    <w:link w:val="9"/>
    <w:semiHidden/>
    <w:qFormat/>
    <w:uiPriority w:val="99"/>
    <w:rPr>
      <w:rFonts w:ascii="Times New Roman" w:hAnsi="Times New Roman" w:eastAsia="宋体" w:cs="Times New Roman"/>
      <w:sz w:val="18"/>
      <w:szCs w:val="18"/>
    </w:rPr>
  </w:style>
  <w:style w:type="character" w:customStyle="1" w:styleId="31">
    <w:name w:val="批注文字 字符"/>
    <w:basedOn w:val="19"/>
    <w:link w:val="5"/>
    <w:semiHidden/>
    <w:qFormat/>
    <w:uiPriority w:val="99"/>
    <w:rPr>
      <w:rFonts w:ascii="Times New Roman" w:hAnsi="Times New Roman" w:eastAsia="宋体" w:cs="Times New Roman"/>
      <w:kern w:val="2"/>
      <w:sz w:val="21"/>
      <w:szCs w:val="22"/>
    </w:rPr>
  </w:style>
  <w:style w:type="character" w:customStyle="1" w:styleId="32">
    <w:name w:val="批注主题 字符"/>
    <w:basedOn w:val="31"/>
    <w:link w:val="16"/>
    <w:semiHidden/>
    <w:qFormat/>
    <w:uiPriority w:val="99"/>
    <w:rPr>
      <w:rFonts w:ascii="Times New Roman" w:hAnsi="Times New Roman" w:eastAsia="宋体" w:cs="Times New Roman"/>
      <w:b/>
      <w:bCs/>
      <w:kern w:val="2"/>
      <w:sz w:val="21"/>
      <w:szCs w:val="22"/>
    </w:rPr>
  </w:style>
  <w:style w:type="paragraph" w:customStyle="1" w:styleId="33">
    <w:name w:val="TOC 标题2"/>
    <w:basedOn w:val="2"/>
    <w:next w:val="1"/>
    <w:unhideWhenUsed/>
    <w:qFormat/>
    <w:uiPriority w:val="39"/>
    <w:pPr>
      <w:widowControl/>
      <w:spacing w:before="240" w:line="259" w:lineRule="auto"/>
      <w:ind w:firstLine="0" w:firstLineChars="0"/>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4">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DB0EE-1DB3-4E4E-A010-48EB77BF4B0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555</Words>
  <Characters>583</Characters>
  <Lines>701</Lines>
  <Paragraphs>660</Paragraphs>
  <TotalTime>6</TotalTime>
  <ScaleCrop>false</ScaleCrop>
  <LinksUpToDate>false</LinksUpToDate>
  <CharactersWithSpaces>699</CharactersWithSpaces>
  <Application>WPS Office_12.1.0.25860_F1E327BC-269C-435d-A152-05C5408002CA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2025-04-17T07:46:00Z</dcterms:created>
  <dc:creator>huan huang</dc:creator>
  <cp:lastModifiedBy>王伶</cp:lastModifiedBy>
  <cp:lastPrinted>2025-06-03T01:27:00Z</cp:lastPrinted>
  <dcterms:modified xsi:type="dcterms:W3CDTF">2026-05-18T01:55:02Z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eyJoZGlkIjoiZThmNjAzMWJlZjFkMmQwODUwMTJkYzE2ODFiYmFmYTciLCJ1c2VySWQiOiI5OTkxODE0NzIifQ==</vt:lpwstr>
  </property>
  <property fmtid="{D5CDD505-2E9C-101B-9397-08002B2CF9AE}" pid="3" name="KSOProductBuildVer">
    <vt:lpwstr>2052-12.1.0.25860</vt:lpwstr>
  </property>
  <property fmtid="{D5CDD505-2E9C-101B-9397-08002B2CF9AE}" pid="4" name="ICV">
    <vt:lpwstr>14899F1B5E594AA0A2BE102EC5FE6FC6_13</vt:lpwstr>
  </property>
</Properties>
</file>