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湖南工程学院2020年第二批专任教师公开招聘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部分岗位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修改报名条件并延长报名时间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4"/>
        <w:tblW w:w="13830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5"/>
        <w:gridCol w:w="780"/>
        <w:gridCol w:w="945"/>
        <w:gridCol w:w="2010"/>
        <w:gridCol w:w="945"/>
        <w:gridCol w:w="975"/>
        <w:gridCol w:w="1320"/>
        <w:gridCol w:w="1335"/>
        <w:gridCol w:w="1440"/>
        <w:gridCol w:w="16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计划数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符合条件的报考人数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原专业要求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修改后专业要求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原学历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要求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修改后学历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要求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原其他要求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修改后的其他要求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处理办法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湖南工程学院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0812计算机科学与技术,0835软件工程,0904植物保护(生物信息学)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博</w:t>
            </w:r>
            <w:r>
              <w:rPr>
                <w:rFonts w:hint="eastAsia" w:ascii="宋体" w:hAnsi="宋体" w:cs="宋体"/>
                <w:kern w:val="0"/>
                <w:szCs w:val="21"/>
              </w:rPr>
              <w:t>士研究生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博士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有正高职称的年龄可放宽到55岁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具有正高职称的年龄可放宽到58岁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修改报名条件并延长报名时间至12月4日下午17:00止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C5226"/>
    <w:rsid w:val="2FF65176"/>
    <w:rsid w:val="30B3586D"/>
    <w:rsid w:val="3E850CD5"/>
    <w:rsid w:val="549512B9"/>
    <w:rsid w:val="56BA1C59"/>
    <w:rsid w:val="607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方正小标宋简体" w:cs="Times New Roman"/>
      <w:kern w:val="44"/>
      <w:sz w:val="44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2019-10-30T08:21:00Z</dcterms:created>
  <dc:creator>dell</dc:creator>
  <cp:lastModifiedBy>公开招聘初审</cp:lastModifiedBy>
  <cp:lastPrinted>2020-12-03T07:43:44Z</cp:lastPrinted>
  <dcterms:modified xsi:type="dcterms:W3CDTF">2020-12-03T07:48:32Z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