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68" w:afterAutospacing="0" w:line="280" w:lineRule="exact"/>
        <w:ind w:left="0" w:right="0"/>
        <w:jc w:val="right"/>
        <w:textAlignment w:val="auto"/>
        <w:rPr>
          <w:rFonts w:hint="eastAsia" w:ascii="黑体" w:hAnsi="黑体" w:eastAsia="黑体" w:cs="黑体"/>
          <w:b/>
          <w:bCs/>
          <w:i w:val="0"/>
          <w:iCs w:val="0"/>
          <w:caps w:val="0"/>
          <w:color w:val="000000" w:themeColor="text1"/>
          <w:spacing w:val="0"/>
          <w:sz w:val="28"/>
          <w:szCs w:val="28"/>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480" w:lineRule="atLeast"/>
        <w:ind w:left="0" w:right="0"/>
        <w:jc w:val="center"/>
        <w:rPr>
          <w:rFonts w:hint="eastAsia" w:ascii="黑体" w:hAnsi="黑体" w:eastAsia="黑体" w:cs="黑体"/>
          <w:b/>
          <w:bCs/>
          <w:i w:val="0"/>
          <w:iCs w:val="0"/>
          <w:caps w:val="0"/>
          <w:color w:val="000000" w:themeColor="text1"/>
          <w:spacing w:val="0"/>
          <w:sz w:val="44"/>
          <w:szCs w:val="44"/>
          <w:shd w:val="clear" w:fill="FFFFFF"/>
          <w:lang w:val="en-US" w:eastAsia="zh-CN"/>
          <w14:textFill>
            <w14:solidFill>
              <w14:schemeClr w14:val="tx1"/>
            </w14:solidFill>
          </w14:textFill>
        </w:rPr>
      </w:pPr>
    </w:p>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480" w:lineRule="atLeast"/>
        <w:ind w:left="0" w:right="0"/>
        <w:jc w:val="cente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pPr>
      <w:r>
        <w:rPr>
          <w:rFonts w:hint="eastAsia" w:ascii="黑体" w:hAnsi="黑体" w:eastAsia="黑体" w:cs="黑体"/>
          <w:b/>
          <w:bCs/>
          <w:i w:val="0"/>
          <w:iCs w:val="0"/>
          <w:caps w:val="0"/>
          <w:color w:val="000000" w:themeColor="text1"/>
          <w:spacing w:val="0"/>
          <w:sz w:val="44"/>
          <w:szCs w:val="44"/>
          <w:shd w:val="clear" w:fill="FFFFFF"/>
          <w:lang w:val="en-US" w:eastAsia="zh-CN"/>
          <w14:textFill>
            <w14:solidFill>
              <w14:schemeClr w14:val="tx1"/>
            </w14:solidFill>
          </w14:textFill>
        </w:rPr>
        <w:t>湖南</w:t>
      </w:r>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省2020年企业薪酬调查信息</w:t>
      </w:r>
    </w:p>
    <w:p>
      <w:pPr>
        <w:jc w:val="center"/>
        <w:rPr>
          <w:rFonts w:hint="eastAsia" w:eastAsia="黑体"/>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jc w:val="both"/>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jc w:val="both"/>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简要说明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jc w:val="both"/>
        <w:rPr>
          <w:color w:val="000000" w:themeColor="text1"/>
          <w:sz w:val="24"/>
          <w:szCs w:val="24"/>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企业薪酬调查是以企业中不同职业从业人员工资报酬水平和不同行业企业人工成本状况为调查内容的抽样调查，以期反映本地区劳动力市场价格状况。本篇资料的内容主要包括不同职业从业人员工资价位、不同岗位等级从业人员工资价位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jc w:val="center"/>
        <w:rPr>
          <w:color w:val="000000" w:themeColor="text1"/>
          <w:sz w:val="24"/>
          <w:szCs w:val="24"/>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分职业中类企业从业人员工资价位（2020年）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jc w:val="both"/>
        <w:rPr>
          <w:sz w:val="19"/>
          <w:szCs w:val="19"/>
        </w:rPr>
      </w:pPr>
      <w:r>
        <w:rPr>
          <w:rFonts w:hint="eastAsia" w:ascii="微软雅黑" w:hAnsi="微软雅黑" w:eastAsia="微软雅黑" w:cs="微软雅黑"/>
          <w:b w:val="0"/>
          <w:bCs w:val="0"/>
          <w:i w:val="0"/>
          <w:iCs w:val="0"/>
          <w:caps w:val="0"/>
          <w:color w:val="333333"/>
          <w:spacing w:val="0"/>
          <w:sz w:val="19"/>
          <w:szCs w:val="19"/>
          <w:shd w:val="clear" w:fill="FFFFFF"/>
        </w:rPr>
        <w:t>单位：万元/年</w:t>
      </w:r>
    </w:p>
    <w:tbl>
      <w:tblPr>
        <w:tblStyle w:val="5"/>
        <w:tblW w:w="791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09"/>
        <w:gridCol w:w="2693"/>
        <w:gridCol w:w="903"/>
        <w:gridCol w:w="903"/>
        <w:gridCol w:w="903"/>
        <w:gridCol w:w="903"/>
        <w:gridCol w:w="9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4F81BD"/>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b/>
                <w:bCs/>
                <w:color w:val="FFFFFF"/>
                <w:kern w:val="0"/>
                <w:sz w:val="21"/>
                <w:szCs w:val="21"/>
                <w:lang w:val="en-US" w:eastAsia="zh-CN" w:bidi="ar"/>
              </w:rPr>
              <w:t>序号</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4F81BD"/>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b/>
                <w:bCs/>
                <w:color w:val="FFFFFF"/>
                <w:kern w:val="0"/>
                <w:sz w:val="21"/>
                <w:szCs w:val="21"/>
                <w:lang w:val="en-US" w:eastAsia="zh-CN" w:bidi="ar"/>
              </w:rPr>
              <w:t>职业中类</w:t>
            </w:r>
          </w:p>
        </w:tc>
        <w:tc>
          <w:tcPr>
            <w:tcW w:w="4515" w:type="dxa"/>
            <w:gridSpan w:val="5"/>
            <w:tcBorders>
              <w:top w:val="single" w:color="auto" w:sz="4" w:space="0"/>
              <w:left w:val="single" w:color="auto" w:sz="4" w:space="0"/>
              <w:bottom w:val="single" w:color="auto" w:sz="4" w:space="0"/>
              <w:right w:val="single" w:color="auto" w:sz="4" w:space="0"/>
            </w:tcBorders>
            <w:shd w:val="clear" w:color="auto" w:fill="4F81BD"/>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b/>
                <w:bCs/>
                <w:color w:val="FFFFFF"/>
                <w:kern w:val="0"/>
                <w:sz w:val="21"/>
                <w:szCs w:val="21"/>
                <w:lang w:val="en-US" w:eastAsia="zh-CN" w:bidi="ar"/>
              </w:rPr>
              <w:t>分位值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vMerge w:val="continue"/>
            <w:tcBorders>
              <w:top w:val="single" w:color="auto" w:sz="4" w:space="0"/>
              <w:left w:val="single" w:color="auto" w:sz="4" w:space="0"/>
              <w:bottom w:val="single" w:color="auto" w:sz="4" w:space="0"/>
              <w:right w:val="single" w:color="auto" w:sz="4" w:space="0"/>
            </w:tcBorders>
            <w:shd w:val="clear" w:color="auto" w:fill="4F81BD"/>
            <w:tcMar>
              <w:left w:w="108" w:type="dxa"/>
              <w:right w:w="108" w:type="dxa"/>
            </w:tcMar>
            <w:vAlign w:val="center"/>
          </w:tcPr>
          <w:p>
            <w:pPr>
              <w:rPr>
                <w:rFonts w:hint="eastAsia" w:ascii="仿宋" w:hAnsi="仿宋" w:eastAsia="仿宋" w:cs="仿宋"/>
                <w:sz w:val="21"/>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4F81BD"/>
            <w:tcMar>
              <w:left w:w="108" w:type="dxa"/>
              <w:right w:w="108" w:type="dxa"/>
            </w:tcMar>
            <w:vAlign w:val="center"/>
          </w:tcPr>
          <w:p>
            <w:pPr>
              <w:rPr>
                <w:rFonts w:hint="eastAsia" w:ascii="仿宋" w:hAnsi="仿宋" w:eastAsia="仿宋" w:cs="仿宋"/>
                <w:sz w:val="21"/>
                <w:szCs w:val="21"/>
              </w:rPr>
            </w:pPr>
          </w:p>
        </w:tc>
        <w:tc>
          <w:tcPr>
            <w:tcW w:w="903" w:type="dxa"/>
            <w:tcBorders>
              <w:top w:val="single" w:color="auto" w:sz="4" w:space="0"/>
              <w:left w:val="single" w:color="auto" w:sz="4" w:space="0"/>
              <w:bottom w:val="single" w:color="auto" w:sz="4" w:space="0"/>
              <w:right w:val="single" w:color="auto" w:sz="4" w:space="0"/>
            </w:tcBorders>
            <w:shd w:val="clear" w:color="auto" w:fill="DBE5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10%</w:t>
            </w:r>
          </w:p>
        </w:tc>
        <w:tc>
          <w:tcPr>
            <w:tcW w:w="903" w:type="dxa"/>
            <w:tcBorders>
              <w:top w:val="single" w:color="auto" w:sz="4" w:space="0"/>
              <w:left w:val="single" w:color="auto" w:sz="4" w:space="0"/>
              <w:bottom w:val="single" w:color="auto" w:sz="4" w:space="0"/>
              <w:right w:val="single" w:color="auto" w:sz="4" w:space="0"/>
            </w:tcBorders>
            <w:shd w:val="clear" w:color="auto" w:fill="DBE5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25%</w:t>
            </w:r>
          </w:p>
        </w:tc>
        <w:tc>
          <w:tcPr>
            <w:tcW w:w="903" w:type="dxa"/>
            <w:tcBorders>
              <w:top w:val="single" w:color="auto" w:sz="4" w:space="0"/>
              <w:left w:val="single" w:color="auto" w:sz="4" w:space="0"/>
              <w:bottom w:val="single" w:color="auto" w:sz="4" w:space="0"/>
              <w:right w:val="single" w:color="auto" w:sz="4" w:space="0"/>
            </w:tcBorders>
            <w:shd w:val="clear" w:color="auto" w:fill="DBE5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50%</w:t>
            </w:r>
          </w:p>
        </w:tc>
        <w:tc>
          <w:tcPr>
            <w:tcW w:w="903" w:type="dxa"/>
            <w:tcBorders>
              <w:top w:val="single" w:color="auto" w:sz="4" w:space="0"/>
              <w:left w:val="single" w:color="auto" w:sz="4" w:space="0"/>
              <w:bottom w:val="single" w:color="auto" w:sz="4" w:space="0"/>
              <w:right w:val="single" w:color="auto" w:sz="4" w:space="0"/>
            </w:tcBorders>
            <w:shd w:val="clear" w:color="auto" w:fill="DBE5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75%</w:t>
            </w:r>
          </w:p>
        </w:tc>
        <w:tc>
          <w:tcPr>
            <w:tcW w:w="903" w:type="dxa"/>
            <w:tcBorders>
              <w:top w:val="single" w:color="auto" w:sz="4" w:space="0"/>
              <w:left w:val="single" w:color="auto" w:sz="4" w:space="0"/>
              <w:bottom w:val="single" w:color="auto" w:sz="4" w:space="0"/>
              <w:right w:val="single" w:color="auto" w:sz="4" w:space="0"/>
            </w:tcBorders>
            <w:shd w:val="clear" w:color="auto" w:fill="DBE5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工程技术人员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3.12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3.86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5.29</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7.52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11.38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农业技术人员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2.24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卫生专业技术人员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4.71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7.06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经济和金融专业人员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3.12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3.80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4.92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6.79</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文学艺术、体育专业人员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4.56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5.52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6</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highlight w:val="yellow"/>
              </w:rPr>
            </w:pPr>
            <w:r>
              <w:rPr>
                <w:rFonts w:hint="eastAsia" w:ascii="仿宋" w:hAnsi="仿宋" w:eastAsia="仿宋" w:cs="仿宋"/>
                <w:i w:val="0"/>
                <w:iCs w:val="0"/>
                <w:color w:val="000000"/>
                <w:kern w:val="0"/>
                <w:sz w:val="21"/>
                <w:szCs w:val="21"/>
                <w:u w:val="none"/>
                <w:lang w:val="en-US" w:eastAsia="zh-CN" w:bidi="ar"/>
              </w:rPr>
              <w:t>新闻出版、文化专业人员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highlight w:val="yellow"/>
              </w:rPr>
            </w:pPr>
            <w:r>
              <w:rPr>
                <w:rFonts w:hint="eastAsia" w:ascii="仿宋" w:hAnsi="仿宋" w:eastAsia="仿宋" w:cs="仿宋"/>
                <w:i w:val="0"/>
                <w:iCs w:val="0"/>
                <w:color w:val="000000"/>
                <w:kern w:val="0"/>
                <w:sz w:val="21"/>
                <w:szCs w:val="21"/>
                <w:u w:val="none"/>
                <w:lang w:val="en-US" w:eastAsia="zh-CN" w:bidi="ar"/>
              </w:rPr>
              <w:t>2.52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7</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其他专业技术人员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2.88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5.59</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8</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办事人员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2.82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4.22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9</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安全和消防人员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2.40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2.88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4.57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5.78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10</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其他办事人员和有关人员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2.83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3.56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11</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批发与零售服务人员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2.40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12</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交通运输、仓储和邮政业服务人员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4.36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5.70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13</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住宿和餐饮服务人员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2.20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3.26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14</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信息传输、软件和信息技术服务人员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2.88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5.50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8.25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11.97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15</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金融服务人员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8.58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13.70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16</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房地产服务人员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2.40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3.11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5.07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17</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租赁和商务服务人员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2.16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4.45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18</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技术辅助服务人员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3.24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4.50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19</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水利、环境和公共设施管理服务人员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2.04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2.27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2.80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20</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居民服务人员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2.16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2.80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5.10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21</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修理及制作服务人员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2.76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3.69</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6.76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22</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文化、体育和娱乐服务人员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2.28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3.12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5.30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23</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健康服务人员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3.23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24</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其他社会生产和生活服务人员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2.88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3.54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25</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林业生产人员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3.55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3.84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4.56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26</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畜牧业生产人员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2.89</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4.41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5.43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6.56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27</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农、林、牧、渔业生产辅助人员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2.76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3.84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4.75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28</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食品、饮料生产加工人员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2.71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4.81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29</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纺织、针织、印染人员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2.90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4.30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30</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木材加工、家具与木制品制作人员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3.12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4.90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31</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纸及纸制品生产加工人员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4.60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5.78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32</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印刷和记录媒介复制人员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2.30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2.90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5.16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33</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文教、工美、体育和娱乐用品制造人员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4.12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4.25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4.47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34</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化学原料和化学制品制造人员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2.74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35</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医药制造人员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4.43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5.38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36</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化学纤维制造人员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3.80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4.20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37</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橡胶和塑料制品制造人员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4.57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6.82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38</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非金属矿物制品制造人员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4.43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5.82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39</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采矿人员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4.11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5.07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6.30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40</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金属冶炼和压延加工人员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6.12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7.86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41</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机械制造基础加工人员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3.21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7.21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42</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金属制品制造人员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3.49</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4.87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6.56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8.34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43</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通用设备制造人员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4.72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6.53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44</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专用设备制造人员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3.49</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4.38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5.54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45</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汽车制造人员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4.10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5.46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7.32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46</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铁路、船舶、航空设备制造人员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2.70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2.90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3.15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4.20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47</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电气机械和器材制造人员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5.54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7.06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48</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计算机、通信和其他电子设备制造人员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3.23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3.48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3.98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4.20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49</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仪器仪表制造人员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2.55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2.65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50</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电力、热力、气体、水生产和输配人员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2.28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3.30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5.24</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7.48</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51</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建筑施工人员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3.01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3.70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4.80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6.00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52</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运输设备和通用工程机械操作人员及有关人员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3.65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4.72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5.76</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7.25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53</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生产辅助人员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2.41</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3.25</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4.20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5.62</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54</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其他生产制造及有关人员</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2.40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3.20</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4.07</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5.73</w:t>
            </w:r>
          </w:p>
        </w:tc>
        <w:tc>
          <w:tcPr>
            <w:tcW w:w="9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bottom"/>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7.64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rPr>
          <w:rFonts w:hint="eastAsia" w:ascii="微软雅黑" w:hAnsi="微软雅黑" w:eastAsia="微软雅黑" w:cs="微软雅黑"/>
          <w:b w:val="0"/>
          <w:bCs w:val="0"/>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jc w:val="center"/>
        <w:rPr>
          <w:sz w:val="24"/>
          <w:szCs w:val="24"/>
        </w:rPr>
      </w:pPr>
      <w:r>
        <w:rPr>
          <w:rFonts w:hint="eastAsia" w:ascii="微软雅黑" w:hAnsi="微软雅黑" w:eastAsia="微软雅黑" w:cs="微软雅黑"/>
          <w:b w:val="0"/>
          <w:bCs w:val="0"/>
          <w:i w:val="0"/>
          <w:iCs w:val="0"/>
          <w:caps w:val="0"/>
          <w:color w:val="333333"/>
          <w:spacing w:val="0"/>
          <w:sz w:val="24"/>
          <w:szCs w:val="24"/>
          <w:shd w:val="clear" w:fill="FFFFFF"/>
        </w:rPr>
        <w:t>分岗位等级企业从业人员工资价位（2020年）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380" w:firstLineChars="200"/>
        <w:rPr>
          <w:sz w:val="19"/>
          <w:szCs w:val="19"/>
        </w:rPr>
      </w:pPr>
      <w:r>
        <w:rPr>
          <w:rFonts w:hint="eastAsia" w:ascii="微软雅黑" w:hAnsi="微软雅黑" w:eastAsia="微软雅黑" w:cs="微软雅黑"/>
          <w:b w:val="0"/>
          <w:bCs w:val="0"/>
          <w:i w:val="0"/>
          <w:iCs w:val="0"/>
          <w:caps w:val="0"/>
          <w:color w:val="333333"/>
          <w:spacing w:val="0"/>
          <w:sz w:val="19"/>
          <w:szCs w:val="19"/>
          <w:shd w:val="clear" w:fill="FFFFFF"/>
        </w:rPr>
        <w:t>单位：万元/年</w:t>
      </w:r>
    </w:p>
    <w:tbl>
      <w:tblPr>
        <w:tblStyle w:val="5"/>
        <w:tblW w:w="800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50"/>
        <w:gridCol w:w="1721"/>
        <w:gridCol w:w="1166"/>
        <w:gridCol w:w="1107"/>
        <w:gridCol w:w="935"/>
        <w:gridCol w:w="1013"/>
        <w:gridCol w:w="8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2971" w:type="dxa"/>
            <w:gridSpan w:val="2"/>
            <w:vMerge w:val="restart"/>
            <w:tcBorders>
              <w:top w:val="single" w:color="auto" w:sz="4" w:space="0"/>
              <w:left w:val="single" w:color="auto" w:sz="4" w:space="0"/>
              <w:bottom w:val="single" w:color="auto" w:sz="4" w:space="0"/>
              <w:right w:val="single" w:color="auto" w:sz="4" w:space="0"/>
            </w:tcBorders>
            <w:shd w:val="clear" w:color="auto" w:fill="5B9BD5"/>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sz w:val="19"/>
                <w:szCs w:val="19"/>
              </w:rPr>
            </w:pPr>
            <w:r>
              <w:rPr>
                <w:rFonts w:hint="eastAsia" w:ascii="仿宋" w:hAnsi="仿宋" w:eastAsia="仿宋" w:cs="仿宋"/>
                <w:b/>
                <w:bCs/>
                <w:color w:val="FFFFFF"/>
                <w:kern w:val="0"/>
                <w:sz w:val="21"/>
                <w:szCs w:val="21"/>
                <w:lang w:val="en-US" w:eastAsia="zh-CN" w:bidi="ar"/>
              </w:rPr>
              <w:t>岗位等级</w:t>
            </w:r>
          </w:p>
        </w:tc>
        <w:tc>
          <w:tcPr>
            <w:tcW w:w="5037" w:type="dxa"/>
            <w:gridSpan w:val="5"/>
            <w:tcBorders>
              <w:top w:val="single" w:color="auto" w:sz="4" w:space="0"/>
              <w:left w:val="single" w:color="auto" w:sz="4" w:space="0"/>
              <w:bottom w:val="single" w:color="auto" w:sz="4" w:space="0"/>
              <w:right w:val="single" w:color="auto" w:sz="4" w:space="0"/>
            </w:tcBorders>
            <w:shd w:val="clear" w:color="auto" w:fill="5B9BD5"/>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sz w:val="19"/>
                <w:szCs w:val="19"/>
              </w:rPr>
            </w:pPr>
            <w:r>
              <w:rPr>
                <w:rFonts w:hint="eastAsia" w:ascii="仿宋" w:hAnsi="仿宋" w:eastAsia="仿宋" w:cs="仿宋"/>
                <w:b/>
                <w:bCs/>
                <w:color w:val="FFFFFF"/>
                <w:kern w:val="0"/>
                <w:sz w:val="21"/>
                <w:szCs w:val="21"/>
                <w:lang w:val="en-US" w:eastAsia="zh-CN" w:bidi="ar"/>
              </w:rPr>
              <w:t>分位值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2971" w:type="dxa"/>
            <w:gridSpan w:val="2"/>
            <w:vMerge w:val="continue"/>
            <w:tcBorders>
              <w:top w:val="single" w:color="auto" w:sz="4" w:space="0"/>
              <w:left w:val="single" w:color="auto" w:sz="4" w:space="0"/>
              <w:bottom w:val="single" w:color="auto" w:sz="4" w:space="0"/>
              <w:right w:val="single" w:color="auto" w:sz="4" w:space="0"/>
            </w:tcBorders>
            <w:shd w:val="clear" w:color="auto" w:fill="5B9BD5"/>
            <w:tcMar>
              <w:left w:w="108" w:type="dxa"/>
              <w:right w:w="108" w:type="dxa"/>
            </w:tcMar>
            <w:vAlign w:val="center"/>
          </w:tcPr>
          <w:p>
            <w:pPr>
              <w:rPr>
                <w:rFonts w:hint="eastAsia" w:ascii="宋体"/>
                <w:sz w:val="19"/>
                <w:szCs w:val="19"/>
              </w:rPr>
            </w:pPr>
          </w:p>
        </w:tc>
        <w:tc>
          <w:tcPr>
            <w:tcW w:w="1166" w:type="dxa"/>
            <w:tcBorders>
              <w:top w:val="single" w:color="auto" w:sz="4" w:space="0"/>
              <w:left w:val="single" w:color="auto" w:sz="4" w:space="0"/>
              <w:bottom w:val="single" w:color="auto" w:sz="4" w:space="0"/>
              <w:right w:val="single" w:color="auto" w:sz="4" w:space="0"/>
            </w:tcBorders>
            <w:shd w:val="clear" w:color="auto" w:fill="DEEAF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b/>
                <w:bCs/>
                <w:sz w:val="19"/>
                <w:szCs w:val="19"/>
              </w:rPr>
            </w:pPr>
            <w:r>
              <w:rPr>
                <w:rFonts w:hint="eastAsia" w:ascii="宋体" w:hAnsi="宋体" w:eastAsia="宋体" w:cs="宋体"/>
                <w:b/>
                <w:bCs/>
                <w:color w:val="000000"/>
                <w:kern w:val="0"/>
                <w:sz w:val="21"/>
                <w:szCs w:val="21"/>
                <w:lang w:val="en-US" w:eastAsia="zh-CN" w:bidi="ar"/>
              </w:rPr>
              <w:t>10%</w:t>
            </w:r>
          </w:p>
        </w:tc>
        <w:tc>
          <w:tcPr>
            <w:tcW w:w="1107" w:type="dxa"/>
            <w:tcBorders>
              <w:top w:val="single" w:color="auto" w:sz="4" w:space="0"/>
              <w:left w:val="single" w:color="auto" w:sz="4" w:space="0"/>
              <w:bottom w:val="single" w:color="auto" w:sz="4" w:space="0"/>
              <w:right w:val="single" w:color="auto" w:sz="4" w:space="0"/>
            </w:tcBorders>
            <w:shd w:val="clear" w:color="auto" w:fill="DEEAF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b/>
                <w:bCs/>
                <w:sz w:val="19"/>
                <w:szCs w:val="19"/>
              </w:rPr>
            </w:pPr>
            <w:r>
              <w:rPr>
                <w:rFonts w:hint="eastAsia" w:ascii="宋体" w:hAnsi="宋体" w:eastAsia="宋体" w:cs="宋体"/>
                <w:b/>
                <w:bCs/>
                <w:color w:val="000000"/>
                <w:kern w:val="0"/>
                <w:sz w:val="21"/>
                <w:szCs w:val="21"/>
                <w:lang w:val="en-US" w:eastAsia="zh-CN" w:bidi="ar"/>
              </w:rPr>
              <w:t>25%</w:t>
            </w:r>
          </w:p>
        </w:tc>
        <w:tc>
          <w:tcPr>
            <w:tcW w:w="935" w:type="dxa"/>
            <w:tcBorders>
              <w:top w:val="single" w:color="auto" w:sz="4" w:space="0"/>
              <w:left w:val="single" w:color="auto" w:sz="4" w:space="0"/>
              <w:bottom w:val="single" w:color="auto" w:sz="4" w:space="0"/>
              <w:right w:val="single" w:color="auto" w:sz="4" w:space="0"/>
            </w:tcBorders>
            <w:shd w:val="clear" w:color="auto" w:fill="DEEAF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b/>
                <w:bCs/>
                <w:sz w:val="19"/>
                <w:szCs w:val="19"/>
              </w:rPr>
            </w:pPr>
            <w:r>
              <w:rPr>
                <w:rFonts w:hint="eastAsia" w:ascii="宋体" w:hAnsi="宋体" w:eastAsia="宋体" w:cs="宋体"/>
                <w:b/>
                <w:bCs/>
                <w:color w:val="000000"/>
                <w:kern w:val="0"/>
                <w:sz w:val="21"/>
                <w:szCs w:val="21"/>
                <w:lang w:val="en-US" w:eastAsia="zh-CN" w:bidi="ar"/>
              </w:rPr>
              <w:t>50%</w:t>
            </w:r>
          </w:p>
        </w:tc>
        <w:tc>
          <w:tcPr>
            <w:tcW w:w="1013" w:type="dxa"/>
            <w:tcBorders>
              <w:top w:val="single" w:color="auto" w:sz="4" w:space="0"/>
              <w:left w:val="single" w:color="auto" w:sz="4" w:space="0"/>
              <w:bottom w:val="single" w:color="auto" w:sz="4" w:space="0"/>
              <w:right w:val="single" w:color="auto" w:sz="4" w:space="0"/>
            </w:tcBorders>
            <w:shd w:val="clear" w:color="auto" w:fill="DEEAF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b/>
                <w:bCs/>
                <w:sz w:val="19"/>
                <w:szCs w:val="19"/>
              </w:rPr>
            </w:pPr>
            <w:r>
              <w:rPr>
                <w:rFonts w:hint="eastAsia" w:ascii="宋体" w:hAnsi="宋体" w:eastAsia="宋体" w:cs="宋体"/>
                <w:b/>
                <w:bCs/>
                <w:color w:val="000000"/>
                <w:kern w:val="0"/>
                <w:sz w:val="21"/>
                <w:szCs w:val="21"/>
                <w:lang w:val="en-US" w:eastAsia="zh-CN" w:bidi="ar"/>
              </w:rPr>
              <w:t>75%</w:t>
            </w:r>
          </w:p>
        </w:tc>
        <w:tc>
          <w:tcPr>
            <w:tcW w:w="816" w:type="dxa"/>
            <w:tcBorders>
              <w:top w:val="single" w:color="auto" w:sz="4" w:space="0"/>
              <w:left w:val="single" w:color="auto" w:sz="4" w:space="0"/>
              <w:bottom w:val="single" w:color="auto" w:sz="4" w:space="0"/>
              <w:right w:val="single" w:color="auto" w:sz="4" w:space="0"/>
            </w:tcBorders>
            <w:shd w:val="clear" w:color="auto" w:fill="DEEAF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b/>
                <w:bCs/>
                <w:sz w:val="19"/>
                <w:szCs w:val="19"/>
              </w:rPr>
            </w:pPr>
            <w:r>
              <w:rPr>
                <w:rFonts w:hint="eastAsia" w:ascii="宋体" w:hAnsi="宋体" w:eastAsia="宋体" w:cs="宋体"/>
                <w:b/>
                <w:bCs/>
                <w:color w:val="000000"/>
                <w:kern w:val="0"/>
                <w:sz w:val="21"/>
                <w:szCs w:val="21"/>
                <w:lang w:val="en-US" w:eastAsia="zh-CN" w:bidi="ar"/>
              </w:rPr>
              <w:t>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125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管理类</w:t>
            </w: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高层管理岗</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4.20</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5.36</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7.20</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11.62</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19.00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125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中层管理岗</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3.60</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4.50</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6.00</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8.85</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14.40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125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基层管理岗</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2.98</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3.80</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5.00</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7.20</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11.99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125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管理类员工岗</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2.59</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3.50</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4.20</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5.79</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default"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8.29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125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技术类</w:t>
            </w: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高级职称</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3.80</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4.94</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7.20</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12.30</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19.61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125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中级职称</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3.50</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4.33</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6.00</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9.12</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13.16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125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初级职称</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2.93</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3.72</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4.81</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6.60</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1250"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技能类</w:t>
            </w: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高级技能</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3.00</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4.50</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6.11</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8.82</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11.87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125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19"/>
                <w:szCs w:val="19"/>
              </w:rPr>
            </w:pP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中级技能</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3.36</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3.92</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5.00</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7.09</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9.75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76" w:hRule="atLeast"/>
          <w:jc w:val="center"/>
        </w:trPr>
        <w:tc>
          <w:tcPr>
            <w:tcW w:w="1250"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19"/>
                <w:szCs w:val="19"/>
              </w:rPr>
            </w:pPr>
          </w:p>
        </w:tc>
        <w:tc>
          <w:tcPr>
            <w:tcW w:w="172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初级技能</w:t>
            </w:r>
          </w:p>
        </w:tc>
        <w:tc>
          <w:tcPr>
            <w:tcW w:w="11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2.41</w:t>
            </w:r>
          </w:p>
        </w:tc>
        <w:tc>
          <w:tcPr>
            <w:tcW w:w="110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3.22</w:t>
            </w:r>
          </w:p>
        </w:tc>
        <w:tc>
          <w:tcPr>
            <w:tcW w:w="9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4.35</w:t>
            </w:r>
          </w:p>
        </w:tc>
        <w:tc>
          <w:tcPr>
            <w:tcW w:w="10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5.86</w:t>
            </w:r>
          </w:p>
        </w:tc>
        <w:tc>
          <w:tcPr>
            <w:tcW w:w="81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8.21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rPr>
          <w:b/>
          <w:bCs/>
          <w:color w:val="000000" w:themeColor="text1"/>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附注：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rPr>
          <w:color w:val="000000" w:themeColor="text1"/>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1.主要统计指标解释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jc w:val="both"/>
        <w:rPr>
          <w:color w:val="000000" w:themeColor="text1"/>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分位值</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是指将数据由低到高排序，在数列中处于相应百分比位置的数据。它表示有相应比例的数据低于或等于该数值。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right="0" w:firstLine="480" w:firstLineChars="200"/>
        <w:jc w:val="both"/>
        <w:rPr>
          <w:color w:val="000000" w:themeColor="text1"/>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企业从业人员</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  是指在本企业工作并取得劳动报酬的人员。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jc w:val="both"/>
        <w:rPr>
          <w:color w:val="000000" w:themeColor="text1"/>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工资价位</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  是指企业从业人员在报告期内的工资水平，包括基本工资、奖金、津贴和补贴、加班加点工资和特殊情况下支付的工资等。它在一定程度上体现了劳动力市场价格水平。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jc w:val="both"/>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职业</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 指从业人员为获取主要生活来源所从事的社会工作类别。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jc w:val="both"/>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管理类岗位等级 </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 指在管理岗位工作的人员在本企业岗位序列中的层级位置，包括高层管理岗、中层管理岗、基层管理岗和管理类员工岗。其中，</w:t>
      </w: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高层管理岗</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是指处于企业最高领导层的岗位，包括董事长、总经理及副职等同级别的高层负责人；</w:t>
      </w: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中层管理岗</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是指在企业一级部门或内设机构处于领导层的岗位，包括人力资源部门负责人、研发部门负责人等部门主要负责人及副职等同级别的中层负责人；</w:t>
      </w: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基层管理岗</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是指在企业二级及以下部门或机构处于领导层的岗位，包括二级及以下部门/机构主要负责人及副职等同级别的基层负责人；管理类员工岗是指处于企业管理执行层的普通员工岗位。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jc w:val="both"/>
        <w:rPr>
          <w:color w:val="000000" w:themeColor="text1"/>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技术类岗位等级</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  指获得国家或专业评审机构认可的专业技术职称等级，包括高级职称、中级职称、初级职称。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jc w:val="both"/>
        <w:rPr>
          <w:color w:val="000000" w:themeColor="text1"/>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技能类岗位等级</w:t>
      </w: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  指按国家职业技能标准或行业企业评价规范设置的职业技能等级，包括初级技能、中级技能、高级技能及以上。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rPr>
          <w:b/>
          <w:bCs/>
          <w:color w:val="000000" w:themeColor="text1"/>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2.调查方法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jc w:val="both"/>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调查以全省为总体，采用分层 PPS 抽样方法，以地区和行业门类为层，层内样本按照与企业从业人员人数成比例的概率抽取。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22" w:beforeAutospacing="0" w:after="0" w:afterAutospacing="0" w:line="18" w:lineRule="atLeast"/>
        <w:ind w:left="0" w:right="0" w:firstLine="480" w:firstLineChars="200"/>
        <w:jc w:val="both"/>
        <w:rPr>
          <w:b/>
          <w:bCs/>
          <w:color w:val="000000" w:themeColor="text1"/>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3.职业划分标准</w:t>
      </w:r>
    </w:p>
    <w:p>
      <w:pPr>
        <w:ind w:firstLine="480" w:firstLineChars="200"/>
        <w:rPr>
          <w:color w:val="000000" w:themeColor="text1"/>
          <w:sz w:val="24"/>
          <w:szCs w:val="24"/>
          <w14:textFill>
            <w14:solidFill>
              <w14:schemeClr w14:val="tx1"/>
            </w14:solidFill>
          </w14:textFill>
        </w:rPr>
      </w:pPr>
      <w:bookmarkStart w:id="0" w:name="_GoBack"/>
      <w:bookmarkEnd w:id="0"/>
      <w:r>
        <w:rPr>
          <w:rFonts w:hint="eastAsia" w:ascii="微软雅黑" w:hAnsi="微软雅黑" w:eastAsia="微软雅黑" w:cs="微软雅黑"/>
          <w:b w:val="0"/>
          <w:bCs w:val="0"/>
          <w:i w:val="0"/>
          <w:iCs w:val="0"/>
          <w:caps w:val="0"/>
          <w:color w:val="000000" w:themeColor="text1"/>
          <w:spacing w:val="0"/>
          <w:sz w:val="24"/>
          <w:szCs w:val="24"/>
          <w:shd w:val="clear" w:fill="FFFFFF"/>
          <w14:textFill>
            <w14:solidFill>
              <w14:schemeClr w14:val="tx1"/>
            </w14:solidFill>
          </w14:textFill>
        </w:rPr>
        <w:t>本调查的职业按《中华人民共和国职业分类大典（2015年版）》 的职业中类划分。</w:t>
      </w:r>
    </w:p>
    <w:sectPr>
      <w:pgSz w:w="11906" w:h="16838"/>
      <w:pgMar w:top="1757" w:right="1417" w:bottom="147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C716E"/>
    <w:rsid w:val="03E665AF"/>
    <w:rsid w:val="05F0094B"/>
    <w:rsid w:val="09102414"/>
    <w:rsid w:val="113168E1"/>
    <w:rsid w:val="17E86E5D"/>
    <w:rsid w:val="26762AD1"/>
    <w:rsid w:val="2F7810C8"/>
    <w:rsid w:val="30055E17"/>
    <w:rsid w:val="34095824"/>
    <w:rsid w:val="374B1AED"/>
    <w:rsid w:val="39070480"/>
    <w:rsid w:val="3B427218"/>
    <w:rsid w:val="3FF7FDF1"/>
    <w:rsid w:val="40587491"/>
    <w:rsid w:val="496E1152"/>
    <w:rsid w:val="499771B5"/>
    <w:rsid w:val="4A9B24EF"/>
    <w:rsid w:val="4C117E32"/>
    <w:rsid w:val="51843E56"/>
    <w:rsid w:val="52F96C11"/>
    <w:rsid w:val="53686096"/>
    <w:rsid w:val="53B8073D"/>
    <w:rsid w:val="570B6780"/>
    <w:rsid w:val="5AF34030"/>
    <w:rsid w:val="5CCD27CE"/>
    <w:rsid w:val="5CD05883"/>
    <w:rsid w:val="5FF66954"/>
    <w:rsid w:val="63E01948"/>
    <w:rsid w:val="682908E9"/>
    <w:rsid w:val="75311340"/>
    <w:rsid w:val="78CE3F3D"/>
    <w:rsid w:val="79A75883"/>
    <w:rsid w:val="7E9FB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style>
  <w:style w:type="character" w:styleId="8">
    <w:name w:val="Hyperlink"/>
    <w:basedOn w:val="6"/>
    <w:qFormat/>
    <w:uiPriority w:val="0"/>
    <w:rPr>
      <w:color w:val="0000FF"/>
      <w:u w:val="single"/>
    </w:rPr>
  </w:style>
  <w:style w:type="character" w:styleId="9">
    <w:name w:val="HTML Cite"/>
    <w:basedOn w:val="6"/>
    <w:qFormat/>
    <w:uiPriority w:val="0"/>
  </w:style>
  <w:style w:type="character" w:customStyle="1" w:styleId="10">
    <w:name w:val="bsharetext"/>
    <w:basedOn w:val="6"/>
    <w:qFormat/>
    <w:uiPriority w:val="0"/>
  </w:style>
  <w:style w:type="paragraph" w:customStyle="1" w:styleId="11">
    <w:name w:val="Table Paragraph"/>
    <w:basedOn w:val="1"/>
    <w:qFormat/>
    <w:uiPriority w:val="1"/>
    <w:pPr>
      <w:spacing w:before="89"/>
      <w:ind w:left="177" w:right="161"/>
      <w:jc w:val="center"/>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幸运草</dc:creator>
  <cp:lastModifiedBy>袁</cp:lastModifiedBy>
  <cp:lastPrinted>2021-12-02T01:23:00Z</cp:lastPrinted>
  <dcterms:modified xsi:type="dcterms:W3CDTF">2021-12-24T01:22:15Z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43AC5C37381E43B1BB095A712748EB7F</vt:lpwstr>
  </property>
</Properties>
</file>