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572" w:lineRule="exact"/>
        <w:ind w:left="0" w:leftChars="0" w:right="0" w:rightChars="0" w:firstLine="0" w:firstLineChars="0"/>
        <w:jc w:val="both"/>
        <w:textAlignment w:val="auto"/>
        <w:outlineLvl w:val="9"/>
        <w:rPr>
          <w:rFonts w:hint="default" w:ascii="Times New Roman" w:hAnsi="Times New Roman" w:eastAsia="方正小标宋简体" w:cs="Times New Roman"/>
          <w:color w:val="auto"/>
          <w:w w:val="100"/>
          <w:sz w:val="32"/>
          <w:szCs w:val="32"/>
          <w:lang w:val="en-US" w:eastAsia="zh-CN"/>
        </w:rPr>
      </w:pPr>
      <w:r>
        <w:rPr>
          <w:rFonts w:hint="eastAsia" w:ascii="Times New Roman" w:hAnsi="Times New Roman" w:eastAsia="方正小标宋简体" w:cs="Times New Roman"/>
          <w:color w:val="auto"/>
          <w:w w:val="100"/>
          <w:sz w:val="32"/>
          <w:szCs w:val="32"/>
          <w:lang w:val="en-US" w:eastAsia="zh-CN"/>
        </w:rPr>
        <w:t>HNPR-2025-11029</w:t>
      </w:r>
    </w:p>
    <w:p>
      <w:pPr>
        <w:keepNext w:val="0"/>
        <w:keepLines w:val="0"/>
        <w:pageBreakBefore w:val="0"/>
        <w:widowControl w:val="0"/>
        <w:kinsoku/>
        <w:wordWrap/>
        <w:overflowPunct/>
        <w:topLinePunct w:val="0"/>
        <w:autoSpaceDE/>
        <w:autoSpaceDN/>
        <w:bidi w:val="0"/>
        <w:adjustRightInd/>
        <w:snapToGrid/>
        <w:spacing w:line="572" w:lineRule="exact"/>
        <w:textAlignment w:val="auto"/>
        <w:outlineLvl w:val="9"/>
        <w:rPr>
          <w:rFonts w:hint="default" w:ascii="Times New Roman" w:hAnsi="Times New Roman" w:eastAsia="方正小标宋简体" w:cs="Times New Roman"/>
          <w:color w:val="FF0000"/>
          <w:spacing w:val="-46"/>
          <w:sz w:val="68"/>
          <w:szCs w:val="68"/>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hint="default" w:ascii="Times New Roman" w:hAnsi="Times New Roman" w:eastAsia="方正小标宋简体" w:cs="Times New Roman"/>
          <w:color w:val="FF0000"/>
          <w:spacing w:val="-46"/>
          <w:sz w:val="68"/>
          <w:szCs w:val="68"/>
        </w:rPr>
      </w:pPr>
    </w:p>
    <w:p>
      <w:pPr>
        <w:pStyle w:val="2"/>
        <w:rPr>
          <w:rFonts w:hint="default" w:ascii="Times New Roman" w:hAnsi="Times New Roman" w:eastAsia="方正小标宋简体" w:cs="Times New Roman"/>
          <w:color w:val="FF0000"/>
          <w:spacing w:val="-46"/>
          <w:sz w:val="68"/>
          <w:szCs w:val="68"/>
        </w:rPr>
      </w:pPr>
    </w:p>
    <w:p>
      <w:pPr>
        <w:pStyle w:val="3"/>
        <w:rPr>
          <w:rFonts w:hint="default"/>
        </w:rPr>
      </w:pP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32"/>
        <w:keepNext w:val="0"/>
        <w:keepLines w:val="0"/>
        <w:pageBreakBefore w:val="0"/>
        <w:widowControl w:val="0"/>
        <w:kinsoku/>
        <w:wordWrap/>
        <w:overflowPunct/>
        <w:autoSpaceDE/>
        <w:autoSpaceDN/>
        <w:bidi w:val="0"/>
        <w:spacing w:line="592" w:lineRule="exact"/>
        <w:jc w:val="center"/>
        <w:textAlignment w:val="auto"/>
        <w:rPr>
          <w:rFonts w:hint="eastAsia" w:ascii="仿宋" w:hAnsi="仿宋" w:eastAsia="仿宋" w:cs="仿宋"/>
          <w:b w:val="0"/>
          <w:bCs/>
          <w:spacing w:val="0"/>
          <w:w w:val="100"/>
          <w:sz w:val="32"/>
          <w:szCs w:val="32"/>
        </w:rPr>
      </w:pPr>
      <w:r>
        <w:rPr>
          <w:rFonts w:hint="eastAsia" w:ascii="仿宋" w:hAnsi="仿宋" w:eastAsia="仿宋" w:cs="仿宋"/>
          <w:sz w:val="32"/>
          <w:szCs w:val="32"/>
        </w:rPr>
        <w:t>湘人社</w:t>
      </w:r>
      <w:r>
        <w:rPr>
          <w:rFonts w:hint="eastAsia" w:ascii="仿宋" w:hAnsi="仿宋" w:eastAsia="仿宋" w:cs="仿宋"/>
          <w:sz w:val="32"/>
          <w:szCs w:val="32"/>
          <w:lang w:val="en"/>
        </w:rPr>
        <w:t>规</w:t>
      </w:r>
      <w:r>
        <w:rPr>
          <w:rFonts w:hint="eastAsia" w:ascii="仿宋" w:hAnsi="仿宋" w:eastAsia="仿宋" w:cs="仿宋"/>
          <w:sz w:val="32"/>
          <w:szCs w:val="32"/>
        </w:rPr>
        <w:t>〔20</w:t>
      </w: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outlineLvl w:val="9"/>
        <w:rPr>
          <w:rFonts w:hint="default" w:ascii="Times New Roman" w:hAnsi="Times New Roman" w:eastAsia="方正小标宋简体" w:cs="Times New Roman"/>
          <w:color w:val="000000"/>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湖南省人力资源和社会保障厅</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关于发布</w:t>
      </w:r>
      <w:r>
        <w:rPr>
          <w:rFonts w:hint="eastAsia" w:ascii="方正小标宋简体" w:hAnsi="方正小标宋简体" w:eastAsia="方正小标宋简体" w:cs="方正小标宋简体"/>
          <w:spacing w:val="0"/>
          <w:sz w:val="44"/>
          <w:szCs w:val="44"/>
        </w:rPr>
        <w:t>湖南省20</w:t>
      </w:r>
      <w:r>
        <w:rPr>
          <w:rFonts w:hint="eastAsia" w:ascii="方正小标宋简体" w:hAnsi="方正小标宋简体" w:eastAsia="方正小标宋简体" w:cs="方正小标宋简体"/>
          <w:spacing w:val="0"/>
          <w:sz w:val="44"/>
          <w:szCs w:val="44"/>
          <w:lang w:val="en-US" w:eastAsia="zh-CN"/>
        </w:rPr>
        <w:t>25</w:t>
      </w:r>
      <w:r>
        <w:rPr>
          <w:rFonts w:hint="eastAsia" w:ascii="方正小标宋简体" w:hAnsi="方正小标宋简体" w:eastAsia="方正小标宋简体" w:cs="方正小标宋简体"/>
          <w:spacing w:val="0"/>
          <w:sz w:val="44"/>
          <w:szCs w:val="44"/>
        </w:rPr>
        <w:t>年</w:t>
      </w:r>
      <w:r>
        <w:rPr>
          <w:rFonts w:hint="eastAsia" w:ascii="方正小标宋简体" w:hAnsi="方正小标宋简体" w:eastAsia="方正小标宋简体" w:cs="方正小标宋简体"/>
          <w:spacing w:val="0"/>
          <w:sz w:val="44"/>
          <w:szCs w:val="44"/>
          <w:lang w:eastAsia="zh-CN"/>
        </w:rPr>
        <w:t>企业</w:t>
      </w:r>
      <w:r>
        <w:rPr>
          <w:rFonts w:hint="eastAsia" w:ascii="方正小标宋简体" w:hAnsi="方正小标宋简体" w:eastAsia="方正小标宋简体" w:cs="方正小标宋简体"/>
          <w:spacing w:val="0"/>
          <w:sz w:val="44"/>
          <w:szCs w:val="44"/>
        </w:rPr>
        <w:t>工资</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指导</w:t>
      </w:r>
      <w:r>
        <w:rPr>
          <w:rFonts w:hint="eastAsia" w:ascii="方正小标宋简体" w:hAnsi="方正小标宋简体" w:eastAsia="方正小标宋简体" w:cs="方正小标宋简体"/>
          <w:spacing w:val="0"/>
          <w:sz w:val="44"/>
          <w:szCs w:val="44"/>
          <w:lang w:eastAsia="zh-CN"/>
        </w:rPr>
        <w:t>线的通知</w:t>
      </w:r>
    </w:p>
    <w:p>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default" w:ascii="Times New Roman" w:hAnsi="Times New Roman" w:eastAsia="仿宋_GB2312" w:cs="Times New Roman"/>
          <w:szCs w:val="32"/>
          <w:lang w:eastAsia="zh-CN"/>
        </w:rPr>
      </w:pPr>
    </w:p>
    <w:p>
      <w:pPr>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仿宋" w:hAnsi="仿宋" w:eastAsia="仿宋" w:cs="仿宋"/>
          <w:szCs w:val="32"/>
          <w:lang w:eastAsia="zh-CN"/>
        </w:rPr>
      </w:pPr>
      <w:r>
        <w:rPr>
          <w:rFonts w:hint="eastAsia" w:ascii="仿宋" w:hAnsi="仿宋" w:eastAsia="仿宋" w:cs="仿宋"/>
          <w:szCs w:val="32"/>
          <w:lang w:eastAsia="zh-CN"/>
        </w:rPr>
        <w:t>各市州人力资源和社会保障局，省直和中央驻湘有关单位，各企业集团：</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 w:hAnsi="仿宋" w:eastAsia="仿宋" w:cs="仿宋"/>
          <w:szCs w:val="32"/>
        </w:rPr>
      </w:pPr>
      <w:r>
        <w:rPr>
          <w:rFonts w:hint="eastAsia" w:ascii="仿宋" w:hAnsi="仿宋" w:eastAsia="仿宋" w:cs="仿宋"/>
          <w:szCs w:val="32"/>
        </w:rPr>
        <w:t>为落实国家对收入分配的宏观调控要求，加强政府对企业工资分配的</w:t>
      </w:r>
      <w:r>
        <w:rPr>
          <w:rFonts w:hint="eastAsia" w:ascii="仿宋" w:hAnsi="仿宋" w:eastAsia="仿宋" w:cs="仿宋"/>
          <w:szCs w:val="32"/>
          <w:lang w:eastAsia="zh-CN"/>
        </w:rPr>
        <w:t>正确引</w:t>
      </w:r>
      <w:r>
        <w:rPr>
          <w:rFonts w:hint="eastAsia" w:ascii="仿宋" w:hAnsi="仿宋" w:eastAsia="仿宋" w:cs="仿宋"/>
          <w:szCs w:val="32"/>
        </w:rPr>
        <w:t>导</w:t>
      </w:r>
      <w:r>
        <w:rPr>
          <w:rFonts w:hint="eastAsia" w:ascii="仿宋" w:hAnsi="仿宋" w:eastAsia="仿宋" w:cs="仿宋"/>
          <w:szCs w:val="32"/>
          <w:lang w:val="en-US" w:eastAsia="zh-CN"/>
        </w:rPr>
        <w:t>，合理调整收入分配关系，引导企业在生产发展和经济效益提高的基础上合理增加职工工资，</w:t>
      </w:r>
      <w:r>
        <w:rPr>
          <w:rFonts w:hint="eastAsia" w:ascii="仿宋" w:hAnsi="仿宋" w:eastAsia="仿宋" w:cs="仿宋"/>
          <w:szCs w:val="32"/>
        </w:rPr>
        <w:t>根据《关于印发〈试点地区工资指导线制度试行办法〉的通知》（劳部发〔1997〕27号）</w:t>
      </w:r>
      <w:r>
        <w:rPr>
          <w:rFonts w:hint="eastAsia" w:ascii="仿宋" w:hAnsi="仿宋" w:eastAsia="仿宋" w:cs="仿宋"/>
          <w:szCs w:val="32"/>
          <w:lang w:eastAsia="zh-CN"/>
        </w:rPr>
        <w:t>和</w:t>
      </w:r>
      <w:r>
        <w:rPr>
          <w:rFonts w:hint="eastAsia" w:ascii="仿宋" w:hAnsi="仿宋" w:eastAsia="仿宋" w:cs="仿宋"/>
          <w:szCs w:val="32"/>
        </w:rPr>
        <w:t>《湖</w:t>
      </w:r>
      <w:r>
        <w:rPr>
          <w:rFonts w:hint="eastAsia" w:ascii="仿宋" w:hAnsi="仿宋" w:eastAsia="仿宋" w:cs="仿宋"/>
          <w:szCs w:val="32"/>
          <w:lang w:eastAsia="zh-CN"/>
        </w:rPr>
        <w:t>南</w:t>
      </w:r>
      <w:r>
        <w:rPr>
          <w:rFonts w:hint="eastAsia" w:ascii="仿宋" w:hAnsi="仿宋" w:eastAsia="仿宋" w:cs="仿宋"/>
          <w:szCs w:val="32"/>
        </w:rPr>
        <w:t>省人民政府关于改革国有企业工资决定机制的意见》（</w:t>
      </w:r>
      <w:r>
        <w:rPr>
          <w:rFonts w:hint="eastAsia" w:ascii="仿宋" w:hAnsi="仿宋" w:eastAsia="仿宋" w:cs="仿宋"/>
          <w:szCs w:val="32"/>
          <w:lang w:eastAsia="zh-CN"/>
        </w:rPr>
        <w:t>湘</w:t>
      </w:r>
      <w:r>
        <w:rPr>
          <w:rFonts w:hint="eastAsia" w:ascii="仿宋" w:hAnsi="仿宋" w:eastAsia="仿宋" w:cs="仿宋"/>
          <w:szCs w:val="32"/>
        </w:rPr>
        <w:t>政发〔2018〕</w:t>
      </w:r>
      <w:r>
        <w:rPr>
          <w:rFonts w:hint="eastAsia" w:ascii="仿宋" w:hAnsi="仿宋" w:eastAsia="仿宋" w:cs="仿宋"/>
          <w:szCs w:val="32"/>
          <w:lang w:val="en-US" w:eastAsia="zh-CN"/>
        </w:rPr>
        <w:t>32</w:t>
      </w:r>
      <w:r>
        <w:rPr>
          <w:rFonts w:hint="eastAsia" w:ascii="仿宋" w:hAnsi="仿宋" w:eastAsia="仿宋" w:cs="仿宋"/>
          <w:szCs w:val="32"/>
        </w:rPr>
        <w:t>号）</w:t>
      </w:r>
      <w:r>
        <w:rPr>
          <w:rFonts w:hint="eastAsia" w:ascii="仿宋" w:hAnsi="仿宋" w:eastAsia="仿宋" w:cs="仿宋"/>
          <w:szCs w:val="32"/>
          <w:lang w:val="en-US" w:eastAsia="zh-CN"/>
        </w:rPr>
        <w:t>等文件</w:t>
      </w:r>
      <w:r>
        <w:rPr>
          <w:rFonts w:hint="eastAsia" w:ascii="仿宋" w:hAnsi="仿宋" w:eastAsia="仿宋" w:cs="仿宋"/>
          <w:szCs w:val="32"/>
        </w:rPr>
        <w:t>规定，</w:t>
      </w:r>
      <w:r>
        <w:rPr>
          <w:rFonts w:hint="eastAsia" w:ascii="仿宋" w:hAnsi="仿宋" w:eastAsia="仿宋" w:cs="仿宋"/>
          <w:szCs w:val="32"/>
          <w:lang w:eastAsia="zh-CN"/>
        </w:rPr>
        <w:t>结合</w:t>
      </w:r>
      <w:r>
        <w:rPr>
          <w:rFonts w:hint="eastAsia" w:ascii="仿宋" w:hAnsi="仿宋" w:eastAsia="仿宋" w:cs="仿宋"/>
          <w:szCs w:val="32"/>
        </w:rPr>
        <w:t>我省社会经济发展状况</w:t>
      </w:r>
      <w:r>
        <w:rPr>
          <w:rFonts w:hint="eastAsia" w:ascii="仿宋" w:hAnsi="仿宋" w:eastAsia="仿宋" w:cs="仿宋"/>
          <w:szCs w:val="32"/>
          <w:lang w:val="en-US" w:eastAsia="zh-CN"/>
        </w:rPr>
        <w:t>和预期目标</w:t>
      </w:r>
      <w:r>
        <w:rPr>
          <w:rFonts w:hint="eastAsia" w:ascii="仿宋" w:hAnsi="仿宋" w:eastAsia="仿宋" w:cs="仿宋"/>
          <w:szCs w:val="32"/>
          <w:lang w:eastAsia="zh-CN"/>
        </w:rPr>
        <w:t>，</w:t>
      </w:r>
      <w:r>
        <w:rPr>
          <w:rFonts w:hint="eastAsia" w:ascii="仿宋" w:hAnsi="仿宋" w:eastAsia="仿宋" w:cs="仿宋"/>
          <w:szCs w:val="32"/>
        </w:rPr>
        <w:t>制定</w:t>
      </w:r>
      <w:r>
        <w:rPr>
          <w:rFonts w:hint="eastAsia" w:ascii="仿宋" w:hAnsi="仿宋" w:eastAsia="仿宋" w:cs="仿宋"/>
          <w:szCs w:val="32"/>
          <w:lang w:eastAsia="zh-CN"/>
        </w:rPr>
        <w:t>湖南</w:t>
      </w:r>
      <w:r>
        <w:rPr>
          <w:rFonts w:hint="eastAsia" w:ascii="仿宋" w:hAnsi="仿宋" w:eastAsia="仿宋" w:cs="仿宋"/>
          <w:szCs w:val="32"/>
        </w:rPr>
        <w:t>省20</w:t>
      </w:r>
      <w:r>
        <w:rPr>
          <w:rFonts w:hint="eastAsia" w:ascii="仿宋" w:hAnsi="仿宋" w:eastAsia="仿宋" w:cs="仿宋"/>
          <w:szCs w:val="32"/>
          <w:lang w:val="en-US" w:eastAsia="zh-CN"/>
        </w:rPr>
        <w:t>25</w:t>
      </w:r>
      <w:r>
        <w:rPr>
          <w:rFonts w:hint="eastAsia" w:ascii="仿宋" w:hAnsi="仿宋" w:eastAsia="仿宋" w:cs="仿宋"/>
          <w:szCs w:val="32"/>
        </w:rPr>
        <w:t>年企业工资指导线</w:t>
      </w:r>
      <w:r>
        <w:rPr>
          <w:rFonts w:hint="eastAsia" w:ascii="仿宋" w:hAnsi="仿宋" w:eastAsia="仿宋" w:cs="仿宋"/>
          <w:szCs w:val="32"/>
          <w:lang w:eastAsia="zh-CN"/>
        </w:rPr>
        <w:t>。</w:t>
      </w:r>
      <w:r>
        <w:rPr>
          <w:rFonts w:hint="eastAsia" w:ascii="仿宋" w:hAnsi="仿宋" w:eastAsia="仿宋" w:cs="仿宋"/>
          <w:szCs w:val="32"/>
          <w:lang w:val="en-US" w:eastAsia="zh-CN"/>
        </w:rPr>
        <w:t>经人力资源社会保障部审核、省人民政府同意，</w:t>
      </w:r>
      <w:r>
        <w:rPr>
          <w:rFonts w:hint="eastAsia" w:ascii="仿宋" w:hAnsi="仿宋" w:eastAsia="仿宋" w:cs="仿宋"/>
          <w:szCs w:val="32"/>
        </w:rPr>
        <w:t>现予发布。</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一、</w:t>
      </w:r>
      <w:r>
        <w:rPr>
          <w:rFonts w:hint="default" w:ascii="Times New Roman" w:hAnsi="Times New Roman" w:eastAsia="黑体" w:cs="Times New Roman"/>
          <w:szCs w:val="32"/>
        </w:rPr>
        <w:t>20</w:t>
      </w:r>
      <w:r>
        <w:rPr>
          <w:rFonts w:hint="default" w:ascii="Times New Roman" w:hAnsi="Times New Roman" w:eastAsia="黑体" w:cs="Times New Roman"/>
          <w:szCs w:val="32"/>
          <w:lang w:val="en-US" w:eastAsia="zh-CN"/>
        </w:rPr>
        <w:t>25</w:t>
      </w:r>
      <w:r>
        <w:rPr>
          <w:rFonts w:hint="default" w:ascii="Times New Roman" w:hAnsi="Times New Roman" w:eastAsia="黑体" w:cs="Times New Roman"/>
          <w:szCs w:val="32"/>
        </w:rPr>
        <w:t>年我省工资指导线</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 w:cs="Times New Roman"/>
          <w:szCs w:val="32"/>
        </w:rPr>
      </w:pPr>
      <w:r>
        <w:rPr>
          <w:rFonts w:hint="default" w:ascii="仿宋" w:hAnsi="仿宋" w:eastAsia="仿宋" w:cs="仿宋"/>
          <w:szCs w:val="32"/>
          <w:lang w:eastAsia="zh-CN"/>
        </w:rPr>
        <w:t>（一）20</w:t>
      </w:r>
      <w:r>
        <w:rPr>
          <w:rFonts w:hint="default" w:ascii="仿宋" w:hAnsi="仿宋" w:eastAsia="仿宋" w:cs="仿宋"/>
          <w:szCs w:val="32"/>
          <w:lang w:val="en-US" w:eastAsia="zh-CN"/>
        </w:rPr>
        <w:t>25</w:t>
      </w:r>
      <w:r>
        <w:rPr>
          <w:rFonts w:hint="default" w:ascii="仿宋" w:hAnsi="仿宋" w:eastAsia="仿宋" w:cs="仿宋"/>
          <w:szCs w:val="32"/>
          <w:lang w:eastAsia="zh-CN"/>
        </w:rPr>
        <w:t>年我省企业工资指导线上线为</w:t>
      </w:r>
      <w:r>
        <w:rPr>
          <w:rFonts w:hint="default" w:ascii="仿宋" w:hAnsi="仿宋" w:eastAsia="仿宋" w:cs="仿宋"/>
          <w:szCs w:val="32"/>
          <w:lang w:val="en-US" w:eastAsia="zh-CN"/>
        </w:rPr>
        <w:t>9%</w:t>
      </w:r>
      <w:r>
        <w:rPr>
          <w:rFonts w:hint="default" w:ascii="仿宋" w:hAnsi="仿宋" w:eastAsia="仿宋" w:cs="仿宋"/>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（二）20</w:t>
      </w:r>
      <w:r>
        <w:rPr>
          <w:rFonts w:hint="default" w:ascii="仿宋" w:hAnsi="仿宋" w:eastAsia="仿宋" w:cs="仿宋"/>
          <w:szCs w:val="32"/>
          <w:lang w:val="en-US" w:eastAsia="zh-CN"/>
        </w:rPr>
        <w:t>25</w:t>
      </w:r>
      <w:r>
        <w:rPr>
          <w:rFonts w:hint="default" w:ascii="仿宋" w:hAnsi="仿宋" w:eastAsia="仿宋" w:cs="仿宋"/>
          <w:szCs w:val="32"/>
          <w:lang w:eastAsia="zh-CN"/>
        </w:rPr>
        <w:t>年我省企业工资指导线基准线为</w:t>
      </w:r>
      <w:r>
        <w:rPr>
          <w:rFonts w:hint="default" w:ascii="仿宋" w:hAnsi="仿宋" w:eastAsia="仿宋" w:cs="仿宋"/>
          <w:szCs w:val="32"/>
          <w:lang w:val="en-US" w:eastAsia="zh-CN"/>
        </w:rPr>
        <w:t>6</w:t>
      </w:r>
      <w:r>
        <w:rPr>
          <w:rFonts w:hint="default" w:ascii="仿宋" w:hAnsi="仿宋" w:eastAsia="仿宋" w:cs="仿宋"/>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（三）20</w:t>
      </w:r>
      <w:r>
        <w:rPr>
          <w:rFonts w:hint="default" w:ascii="仿宋" w:hAnsi="仿宋" w:eastAsia="仿宋" w:cs="仿宋"/>
          <w:szCs w:val="32"/>
          <w:lang w:val="en-US" w:eastAsia="zh-CN"/>
        </w:rPr>
        <w:t>25</w:t>
      </w:r>
      <w:r>
        <w:rPr>
          <w:rFonts w:hint="default" w:ascii="仿宋" w:hAnsi="仿宋" w:eastAsia="仿宋" w:cs="仿宋"/>
          <w:szCs w:val="32"/>
          <w:lang w:eastAsia="zh-CN"/>
        </w:rPr>
        <w:t>年我省企业工资指导线下线为</w:t>
      </w:r>
      <w:r>
        <w:rPr>
          <w:rFonts w:hint="default" w:ascii="仿宋" w:hAnsi="仿宋" w:eastAsia="仿宋" w:cs="仿宋"/>
          <w:szCs w:val="32"/>
          <w:lang w:val="en-US" w:eastAsia="zh-CN"/>
        </w:rPr>
        <w:t>2</w:t>
      </w:r>
      <w:r>
        <w:rPr>
          <w:rFonts w:hint="default" w:ascii="仿宋" w:hAnsi="仿宋" w:eastAsia="仿宋" w:cs="仿宋"/>
          <w:szCs w:val="32"/>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二</w:t>
      </w:r>
      <w:r>
        <w:rPr>
          <w:rFonts w:hint="default" w:ascii="Times New Roman" w:hAnsi="Times New Roman" w:eastAsia="黑体" w:cs="Times New Roman"/>
          <w:szCs w:val="32"/>
        </w:rPr>
        <w:t>、工资指导线执行范围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20</w:t>
      </w:r>
      <w:r>
        <w:rPr>
          <w:rFonts w:hint="default" w:ascii="仿宋" w:hAnsi="仿宋" w:eastAsia="仿宋" w:cs="仿宋"/>
          <w:szCs w:val="32"/>
          <w:lang w:val="en-US" w:eastAsia="zh-CN"/>
        </w:rPr>
        <w:t>25</w:t>
      </w:r>
      <w:r>
        <w:rPr>
          <w:rFonts w:hint="default" w:ascii="仿宋" w:hAnsi="仿宋" w:eastAsia="仿宋" w:cs="仿宋"/>
          <w:szCs w:val="32"/>
          <w:lang w:eastAsia="zh-CN"/>
        </w:rPr>
        <w:t>年工资指导线适用于我省城镇各类企业和按照企业经营方式进行经营性活动的各类机构、团体。</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val="en-US" w:eastAsia="zh-CN"/>
        </w:rPr>
      </w:pPr>
      <w:r>
        <w:rPr>
          <w:rFonts w:hint="default" w:ascii="仿宋" w:hAnsi="仿宋" w:eastAsia="仿宋" w:cs="仿宋"/>
          <w:szCs w:val="32"/>
          <w:lang w:val="en-US" w:eastAsia="zh-CN"/>
        </w:rPr>
        <w:t>（一）对经济效益比上年有较大增长幅度或扭亏成效显著</w:t>
      </w:r>
      <w:r>
        <w:rPr>
          <w:rFonts w:hint="eastAsia" w:ascii="仿宋" w:hAnsi="仿宋" w:eastAsia="仿宋" w:cs="仿宋"/>
          <w:szCs w:val="32"/>
          <w:lang w:val="en-US" w:eastAsia="zh-CN"/>
        </w:rPr>
        <w:t>的</w:t>
      </w:r>
      <w:r>
        <w:rPr>
          <w:rFonts w:hint="default" w:ascii="仿宋" w:hAnsi="仿宋" w:eastAsia="仿宋" w:cs="仿宋"/>
          <w:szCs w:val="32"/>
          <w:lang w:val="en-US" w:eastAsia="zh-CN"/>
        </w:rPr>
        <w:t>企业，可在工资指导线的基准线和上线区间内协商确定工资增长幅度。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（二）现有工资水平已超过所在地在岗职工平均工资</w:t>
      </w:r>
      <w:r>
        <w:rPr>
          <w:rFonts w:hint="default" w:ascii="仿宋" w:hAnsi="仿宋" w:eastAsia="仿宋" w:cs="仿宋"/>
          <w:szCs w:val="32"/>
          <w:lang w:val="en-US" w:eastAsia="zh-CN"/>
        </w:rPr>
        <w:t>2倍的企业和</w:t>
      </w:r>
      <w:r>
        <w:rPr>
          <w:rFonts w:hint="default" w:ascii="仿宋" w:hAnsi="仿宋" w:eastAsia="仿宋" w:cs="仿宋"/>
          <w:szCs w:val="32"/>
          <w:lang w:eastAsia="zh-CN"/>
        </w:rPr>
        <w:t>经济效益比上年增长幅度较小的企业</w:t>
      </w:r>
      <w:r>
        <w:rPr>
          <w:rFonts w:hint="default" w:ascii="仿宋" w:hAnsi="仿宋" w:eastAsia="仿宋" w:cs="仿宋"/>
          <w:szCs w:val="32"/>
          <w:lang w:val="en-US" w:eastAsia="zh-CN"/>
        </w:rPr>
        <w:t>，</w:t>
      </w:r>
      <w:r>
        <w:rPr>
          <w:rFonts w:hint="default" w:ascii="仿宋" w:hAnsi="仿宋" w:eastAsia="仿宋" w:cs="仿宋"/>
          <w:szCs w:val="32"/>
          <w:lang w:eastAsia="zh-CN"/>
        </w:rPr>
        <w:t>可在工资指导线的下线与基准线的区间内协商确定工资增长幅度。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（三）当年效益情况与往年持平或略有下降的企业，可结合自身实际参照下线确定工资增长幅度。</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eastAsia="zh-CN"/>
        </w:rPr>
        <w:t>（四）对于经营亏损、职工工资发放出现困难的企业，经与工会或职工代表协商，工资可以零增长或负增长，但支付给劳动者的工资不得低于</w:t>
      </w:r>
      <w:r>
        <w:rPr>
          <w:rFonts w:hint="default" w:ascii="仿宋" w:hAnsi="仿宋" w:eastAsia="仿宋" w:cs="仿宋"/>
          <w:szCs w:val="32"/>
          <w:lang w:val="en-US" w:eastAsia="zh-CN"/>
        </w:rPr>
        <w:t>当地</w:t>
      </w:r>
      <w:r>
        <w:rPr>
          <w:rFonts w:hint="default" w:ascii="仿宋" w:hAnsi="仿宋" w:eastAsia="仿宋" w:cs="仿宋"/>
          <w:szCs w:val="32"/>
          <w:lang w:eastAsia="zh-CN"/>
        </w:rPr>
        <w:t>最低工资标准。</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三</w:t>
      </w:r>
      <w:r>
        <w:rPr>
          <w:rFonts w:hint="default" w:ascii="Times New Roman" w:hAnsi="Times New Roman" w:eastAsia="黑体" w:cs="Times New Roman"/>
          <w:szCs w:val="32"/>
        </w:rPr>
        <w:t>、工作要求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仿宋" w:hAnsi="仿宋" w:eastAsia="仿宋" w:cs="仿宋"/>
          <w:szCs w:val="32"/>
          <w:lang w:val="en-US" w:eastAsia="zh-CN"/>
        </w:rPr>
      </w:pPr>
      <w:r>
        <w:rPr>
          <w:rFonts w:hint="default" w:ascii="仿宋" w:hAnsi="仿宋" w:eastAsia="仿宋" w:cs="仿宋"/>
          <w:szCs w:val="32"/>
          <w:lang w:val="en-US" w:eastAsia="zh-CN"/>
        </w:rPr>
        <w:t>（一）全</w:t>
      </w:r>
      <w:r>
        <w:rPr>
          <w:rFonts w:hint="default" w:ascii="仿宋" w:hAnsi="仿宋" w:eastAsia="仿宋" w:cs="仿宋"/>
          <w:szCs w:val="32"/>
          <w:lang w:eastAsia="zh-CN"/>
        </w:rPr>
        <w:t>省各类企业应</w:t>
      </w:r>
      <w:r>
        <w:rPr>
          <w:rFonts w:hint="eastAsia" w:ascii="仿宋" w:hAnsi="仿宋" w:eastAsia="仿宋" w:cs="仿宋"/>
          <w:szCs w:val="32"/>
          <w:lang w:val="en-US" w:eastAsia="zh-CN"/>
        </w:rPr>
        <w:t>建立</w:t>
      </w:r>
      <w:r>
        <w:rPr>
          <w:rFonts w:hint="default" w:ascii="仿宋" w:hAnsi="仿宋" w:eastAsia="仿宋" w:cs="仿宋"/>
          <w:szCs w:val="32"/>
          <w:lang w:val="en-US" w:eastAsia="zh-CN"/>
        </w:rPr>
        <w:t>健全工资</w:t>
      </w:r>
      <w:r>
        <w:rPr>
          <w:rFonts w:hint="eastAsia" w:ascii="仿宋" w:hAnsi="仿宋" w:eastAsia="仿宋" w:cs="仿宋"/>
          <w:szCs w:val="32"/>
          <w:lang w:val="en-US" w:eastAsia="zh-CN"/>
        </w:rPr>
        <w:t>决定机制和</w:t>
      </w:r>
      <w:r>
        <w:rPr>
          <w:rFonts w:hint="default" w:ascii="仿宋" w:hAnsi="仿宋" w:eastAsia="仿宋" w:cs="仿宋"/>
          <w:szCs w:val="32"/>
          <w:lang w:val="en-US" w:eastAsia="zh-CN"/>
        </w:rPr>
        <w:t>正常增长机制，</w:t>
      </w:r>
      <w:r>
        <w:rPr>
          <w:rFonts w:hint="default" w:ascii="仿宋" w:hAnsi="仿宋" w:eastAsia="仿宋" w:cs="仿宋"/>
          <w:szCs w:val="32"/>
          <w:lang w:eastAsia="zh-CN"/>
        </w:rPr>
        <w:t>根据本企业经济效益和劳动生产率的具体情况，协商确定20</w:t>
      </w:r>
      <w:r>
        <w:rPr>
          <w:rFonts w:hint="default" w:ascii="仿宋" w:hAnsi="仿宋" w:eastAsia="仿宋" w:cs="仿宋"/>
          <w:szCs w:val="32"/>
          <w:lang w:val="en-US" w:eastAsia="zh-CN"/>
        </w:rPr>
        <w:t>25</w:t>
      </w:r>
      <w:r>
        <w:rPr>
          <w:rFonts w:hint="default" w:ascii="仿宋" w:hAnsi="仿宋" w:eastAsia="仿宋" w:cs="仿宋"/>
          <w:szCs w:val="32"/>
          <w:lang w:eastAsia="zh-CN"/>
        </w:rPr>
        <w:t>年度工资增长比例，合理安排工资增长</w:t>
      </w:r>
      <w:r>
        <w:rPr>
          <w:rFonts w:hint="eastAsia" w:ascii="仿宋" w:hAnsi="仿宋" w:eastAsia="仿宋" w:cs="仿宋"/>
          <w:szCs w:val="32"/>
          <w:lang w:val="en-US" w:eastAsia="zh-CN"/>
        </w:rPr>
        <w:t>。</w:t>
      </w:r>
      <w:r>
        <w:rPr>
          <w:rFonts w:hint="default" w:ascii="仿宋" w:hAnsi="仿宋" w:eastAsia="仿宋" w:cs="仿宋"/>
          <w:szCs w:val="32"/>
          <w:lang w:val="en-US" w:eastAsia="zh-CN"/>
        </w:rPr>
        <w:t>着力提高工资水平偏低、工资增长缓慢的普通职工，特别是生产一线及技术工人岗位人员工资水平，使生产一线职工工资增长幅度不低于职工平均工资增长幅度。</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jc w:val="both"/>
        <w:textAlignment w:val="auto"/>
        <w:rPr>
          <w:rFonts w:hint="default" w:ascii="仿宋" w:hAnsi="仿宋" w:eastAsia="仿宋" w:cs="仿宋"/>
          <w:szCs w:val="32"/>
          <w:lang w:eastAsia="zh-CN"/>
        </w:rPr>
      </w:pPr>
      <w:r>
        <w:rPr>
          <w:rFonts w:hint="eastAsia" w:ascii="仿宋" w:hAnsi="仿宋" w:eastAsia="仿宋" w:cs="仿宋"/>
          <w:szCs w:val="32"/>
          <w:lang w:val="en-US" w:eastAsia="zh-CN"/>
        </w:rPr>
        <w:t>1</w:t>
      </w:r>
      <w:r>
        <w:rPr>
          <w:rFonts w:hint="default" w:ascii="仿宋" w:hAnsi="仿宋" w:eastAsia="仿宋" w:cs="仿宋"/>
          <w:szCs w:val="32"/>
          <w:lang w:val="en-US" w:eastAsia="zh-CN"/>
        </w:rPr>
        <w:t>.</w:t>
      </w:r>
      <w:r>
        <w:rPr>
          <w:rFonts w:hint="default" w:ascii="仿宋" w:hAnsi="仿宋" w:eastAsia="仿宋" w:cs="仿宋"/>
          <w:szCs w:val="32"/>
          <w:lang w:eastAsia="zh-CN"/>
        </w:rPr>
        <w:t>国有企业（含国有独资</w:t>
      </w:r>
      <w:r>
        <w:rPr>
          <w:rFonts w:hint="eastAsia" w:ascii="仿宋" w:hAnsi="仿宋" w:eastAsia="仿宋" w:cs="仿宋"/>
          <w:szCs w:val="32"/>
          <w:lang w:eastAsia="zh-CN"/>
        </w:rPr>
        <w:t>、</w:t>
      </w:r>
      <w:r>
        <w:rPr>
          <w:rFonts w:hint="default" w:ascii="仿宋" w:hAnsi="仿宋" w:eastAsia="仿宋" w:cs="仿宋"/>
          <w:szCs w:val="32"/>
          <w:lang w:eastAsia="zh-CN"/>
        </w:rPr>
        <w:t>控股</w:t>
      </w:r>
      <w:r>
        <w:rPr>
          <w:rFonts w:hint="eastAsia" w:ascii="仿宋" w:hAnsi="仿宋" w:eastAsia="仿宋" w:cs="仿宋"/>
          <w:szCs w:val="32"/>
          <w:lang w:val="en-US" w:eastAsia="zh-CN"/>
        </w:rPr>
        <w:t>和实际控制的</w:t>
      </w:r>
      <w:r>
        <w:rPr>
          <w:rFonts w:hint="default" w:ascii="仿宋" w:hAnsi="仿宋" w:eastAsia="仿宋" w:cs="仿宋"/>
          <w:szCs w:val="32"/>
          <w:lang w:eastAsia="zh-CN"/>
        </w:rPr>
        <w:t>企业，下同）应按照国有企业工资决定机制改革的有关规定编制工资总额预算方案，在工资监管部门核准或备案的工资总额预算内，通过与工会开展工资集体协商，合理确定本企业20</w:t>
      </w:r>
      <w:r>
        <w:rPr>
          <w:rFonts w:hint="default" w:ascii="仿宋" w:hAnsi="仿宋" w:eastAsia="仿宋" w:cs="仿宋"/>
          <w:szCs w:val="32"/>
          <w:lang w:val="en-US" w:eastAsia="zh-CN"/>
        </w:rPr>
        <w:t>25</w:t>
      </w:r>
      <w:r>
        <w:rPr>
          <w:rFonts w:hint="default" w:ascii="仿宋" w:hAnsi="仿宋" w:eastAsia="仿宋" w:cs="仿宋"/>
          <w:szCs w:val="32"/>
          <w:lang w:eastAsia="zh-CN"/>
        </w:rPr>
        <w:t>年度的职工工资增长幅度和工资水平。</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jc w:val="both"/>
        <w:textAlignment w:val="auto"/>
        <w:rPr>
          <w:rFonts w:hint="default" w:ascii="仿宋" w:hAnsi="仿宋" w:eastAsia="仿宋" w:cs="仿宋"/>
          <w:szCs w:val="32"/>
          <w:lang w:eastAsia="zh-CN"/>
        </w:rPr>
      </w:pPr>
      <w:r>
        <w:rPr>
          <w:rFonts w:hint="eastAsia" w:ascii="仿宋" w:hAnsi="仿宋" w:eastAsia="仿宋" w:cs="仿宋"/>
          <w:szCs w:val="32"/>
          <w:lang w:val="en-US" w:eastAsia="zh-CN"/>
        </w:rPr>
        <w:t>2</w:t>
      </w:r>
      <w:r>
        <w:rPr>
          <w:rFonts w:hint="default" w:ascii="仿宋" w:hAnsi="仿宋" w:eastAsia="仿宋" w:cs="仿宋"/>
          <w:szCs w:val="32"/>
          <w:lang w:val="en-US" w:eastAsia="zh-CN"/>
        </w:rPr>
        <w:t>.</w:t>
      </w:r>
      <w:r>
        <w:rPr>
          <w:rFonts w:hint="default" w:ascii="仿宋" w:hAnsi="仿宋" w:eastAsia="仿宋" w:cs="仿宋"/>
          <w:szCs w:val="32"/>
          <w:lang w:eastAsia="zh-CN"/>
        </w:rPr>
        <w:t>非国有企业应依据工资指导线和劳动报酬增长与劳动生产率提高同步的要求，积极主动地与工会或职工协商代表开展工资集体协商，合理确定本企业20</w:t>
      </w:r>
      <w:r>
        <w:rPr>
          <w:rFonts w:hint="default" w:ascii="仿宋" w:hAnsi="仿宋" w:eastAsia="仿宋" w:cs="仿宋"/>
          <w:szCs w:val="32"/>
          <w:lang w:val="en-US" w:eastAsia="zh-CN"/>
        </w:rPr>
        <w:t>25</w:t>
      </w:r>
      <w:r>
        <w:rPr>
          <w:rFonts w:hint="default" w:ascii="仿宋" w:hAnsi="仿宋" w:eastAsia="仿宋" w:cs="仿宋"/>
          <w:szCs w:val="32"/>
          <w:lang w:eastAsia="zh-CN"/>
        </w:rPr>
        <w:t>年度的职工工资增长幅度和工资水平。</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val="en-US" w:eastAsia="zh-CN"/>
        </w:rPr>
        <w:t>（</w:t>
      </w:r>
      <w:r>
        <w:rPr>
          <w:rFonts w:hint="eastAsia" w:ascii="仿宋" w:hAnsi="仿宋" w:eastAsia="仿宋" w:cs="仿宋"/>
          <w:szCs w:val="32"/>
          <w:lang w:val="en-US" w:eastAsia="zh-CN"/>
        </w:rPr>
        <w:t>二</w:t>
      </w:r>
      <w:r>
        <w:rPr>
          <w:rFonts w:hint="default" w:ascii="仿宋" w:hAnsi="仿宋" w:eastAsia="仿宋" w:cs="仿宋"/>
          <w:szCs w:val="32"/>
          <w:lang w:val="en-US" w:eastAsia="zh-CN"/>
        </w:rPr>
        <w:t>）</w:t>
      </w:r>
      <w:r>
        <w:rPr>
          <w:rFonts w:hint="eastAsia" w:ascii="仿宋" w:hAnsi="仿宋" w:eastAsia="仿宋" w:cs="仿宋"/>
          <w:szCs w:val="32"/>
          <w:lang w:val="en-US" w:eastAsia="zh-CN"/>
        </w:rPr>
        <w:t>各级工会组织要加强对企业工会工作的指导，</w:t>
      </w:r>
      <w:r>
        <w:rPr>
          <w:rFonts w:hint="default" w:ascii="仿宋" w:hAnsi="仿宋" w:eastAsia="仿宋" w:cs="仿宋"/>
          <w:szCs w:val="32"/>
          <w:lang w:eastAsia="zh-CN"/>
        </w:rPr>
        <w:t>与企业共同协商工资分配制度、分配形式及工资调整幅度，促进企业发展与维护职工权益有机结合，合理提高职工工资水平。</w:t>
      </w:r>
    </w:p>
    <w:p>
      <w:pPr>
        <w:keepNext w:val="0"/>
        <w:keepLines w:val="0"/>
        <w:pageBreakBefore w:val="0"/>
        <w:widowControl w:val="0"/>
        <w:kinsoku/>
        <w:wordWrap/>
        <w:overflowPunct/>
        <w:topLinePunct w:val="0"/>
        <w:autoSpaceDE/>
        <w:autoSpaceDN/>
        <w:bidi w:val="0"/>
        <w:adjustRightInd/>
        <w:snapToGrid/>
        <w:spacing w:line="612" w:lineRule="exact"/>
        <w:ind w:firstLine="640" w:firstLineChars="200"/>
        <w:jc w:val="both"/>
        <w:textAlignment w:val="auto"/>
        <w:rPr>
          <w:rFonts w:hint="default" w:ascii="仿宋" w:hAnsi="仿宋" w:eastAsia="仿宋" w:cs="仿宋"/>
          <w:szCs w:val="32"/>
          <w:lang w:eastAsia="zh-CN"/>
        </w:rPr>
      </w:pPr>
      <w:r>
        <w:rPr>
          <w:rFonts w:hint="default" w:ascii="仿宋" w:hAnsi="仿宋" w:eastAsia="仿宋" w:cs="仿宋"/>
          <w:szCs w:val="32"/>
          <w:lang w:val="en-US" w:eastAsia="zh-CN"/>
        </w:rPr>
        <w:t>（</w:t>
      </w:r>
      <w:r>
        <w:rPr>
          <w:rFonts w:hint="eastAsia" w:ascii="仿宋" w:hAnsi="仿宋" w:eastAsia="仿宋" w:cs="仿宋"/>
          <w:szCs w:val="32"/>
          <w:lang w:val="en-US" w:eastAsia="zh-CN"/>
        </w:rPr>
        <w:t>三</w:t>
      </w:r>
      <w:r>
        <w:rPr>
          <w:rFonts w:hint="default" w:ascii="仿宋" w:hAnsi="仿宋" w:eastAsia="仿宋" w:cs="仿宋"/>
          <w:szCs w:val="32"/>
          <w:lang w:val="en-US" w:eastAsia="zh-CN"/>
        </w:rPr>
        <w:t>）各</w:t>
      </w:r>
      <w:r>
        <w:rPr>
          <w:rFonts w:hint="default" w:ascii="仿宋" w:hAnsi="仿宋" w:eastAsia="仿宋" w:cs="仿宋"/>
          <w:szCs w:val="32"/>
          <w:lang w:eastAsia="zh-CN"/>
        </w:rPr>
        <w:t>级人力资源社会保障行政部门要按规定做好国有企业工资总额执行结果的备案工作，加大对工资指导线和《湖南省企业工资集体协商条例》的宣传力度，加强对企业执行情况的监督检查</w:t>
      </w:r>
      <w:r>
        <w:rPr>
          <w:rFonts w:hint="eastAsia" w:ascii="仿宋" w:hAnsi="仿宋" w:eastAsia="仿宋" w:cs="仿宋"/>
          <w:szCs w:val="32"/>
          <w:lang w:eastAsia="zh-CN"/>
        </w:rPr>
        <w:t>，</w:t>
      </w:r>
      <w:r>
        <w:rPr>
          <w:rFonts w:hint="default" w:ascii="仿宋" w:hAnsi="仿宋" w:eastAsia="仿宋" w:cs="仿宋"/>
          <w:szCs w:val="32"/>
          <w:lang w:eastAsia="zh-CN"/>
        </w:rPr>
        <w:t>进一步发挥工资指导线的宏观调控作用，切实</w:t>
      </w:r>
      <w:r>
        <w:rPr>
          <w:rFonts w:hint="eastAsia" w:ascii="仿宋" w:hAnsi="仿宋" w:eastAsia="仿宋" w:cs="仿宋"/>
          <w:szCs w:val="32"/>
          <w:lang w:val="en-US" w:eastAsia="zh-CN"/>
        </w:rPr>
        <w:t>提升</w:t>
      </w:r>
      <w:r>
        <w:rPr>
          <w:rFonts w:hint="default" w:ascii="仿宋" w:hAnsi="仿宋" w:eastAsia="仿宋" w:cs="仿宋"/>
          <w:szCs w:val="32"/>
          <w:lang w:eastAsia="zh-CN"/>
        </w:rPr>
        <w:t>工资指导线的实施效果和社会影响力。</w:t>
      </w:r>
    </w:p>
    <w:p>
      <w:pPr>
        <w:keepNext w:val="0"/>
        <w:keepLines w:val="0"/>
        <w:pageBreakBefore w:val="0"/>
        <w:widowControl w:val="0"/>
        <w:kinsoku/>
        <w:wordWrap/>
        <w:overflowPunct/>
        <w:topLinePunct w:val="0"/>
        <w:autoSpaceDE/>
        <w:autoSpaceDN/>
        <w:bidi w:val="0"/>
        <w:adjustRightInd/>
        <w:snapToGrid/>
        <w:spacing w:line="572" w:lineRule="exact"/>
        <w:ind w:left="0"/>
        <w:jc w:val="both"/>
        <w:textAlignment w:val="baseline"/>
        <w:outlineLvl w:val="9"/>
        <w:rPr>
          <w:rFonts w:hint="eastAsia" w:ascii="Times New Roman" w:hAnsi="Times New Roman" w:eastAsia="仿宋_GB2312" w:cs="Times New Roman"/>
          <w:color w:val="auto"/>
          <w:sz w:val="32"/>
          <w:szCs w:val="32"/>
          <w:lang w:val="en-US" w:eastAsia="zh-CN"/>
        </w:rPr>
      </w:pPr>
    </w:p>
    <w:p>
      <w:pPr>
        <w:pStyle w:val="12"/>
        <w:keepNext w:val="0"/>
        <w:keepLines w:val="0"/>
        <w:pageBreakBefore w:val="0"/>
        <w:widowControl w:val="0"/>
        <w:kinsoku/>
        <w:wordWrap/>
        <w:overflowPunct/>
        <w:topLinePunct w:val="0"/>
        <w:autoSpaceDE/>
        <w:autoSpaceDN/>
        <w:bidi w:val="0"/>
        <w:adjustRightInd/>
        <w:spacing w:line="572" w:lineRule="exact"/>
        <w:ind w:left="0"/>
        <w:jc w:val="both"/>
        <w:rPr>
          <w:rFonts w:hint="eastAsia" w:ascii="Times New Roman" w:hAnsi="Times New Roman" w:eastAsia="仿宋_GB2312" w:cs="Times New Roman"/>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72" w:lineRule="exact"/>
        <w:ind w:left="0"/>
        <w:jc w:val="both"/>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湖南省人力资源和社会保障厅</w:t>
      </w:r>
    </w:p>
    <w:p>
      <w:pPr>
        <w:keepNext w:val="0"/>
        <w:keepLines w:val="0"/>
        <w:pageBreakBefore w:val="0"/>
        <w:widowControl w:val="0"/>
        <w:kinsoku/>
        <w:wordWrap/>
        <w:overflowPunct/>
        <w:topLinePunct w:val="0"/>
        <w:autoSpaceDE/>
        <w:autoSpaceDN/>
        <w:bidi w:val="0"/>
        <w:adjustRightInd/>
        <w:spacing w:line="572" w:lineRule="exact"/>
        <w:jc w:val="both"/>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 xml:space="preserve">                                 2025年8月21日 </w:t>
      </w:r>
      <w:r>
        <w:rPr>
          <w:rFonts w:hint="eastAsia" w:ascii="仿宋" w:hAnsi="仿宋" w:eastAsia="仿宋" w:cs="仿宋"/>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572" w:lineRule="exac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（此件主动公开）</w:t>
      </w:r>
    </w:p>
    <w:p>
      <w:pPr>
        <w:pStyle w:val="2"/>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仿宋" w:hAnsi="仿宋" w:eastAsia="仿宋" w:cs="仿宋"/>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72" w:lineRule="exact"/>
        <w:ind w:left="0" w:leftChars="0" w:firstLine="0" w:firstLineChars="0"/>
        <w:jc w:val="both"/>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72" w:lineRule="exact"/>
        <w:jc w:val="both"/>
        <w:textAlignment w:val="auto"/>
        <w:rPr>
          <w:rFonts w:hint="eastAsia" w:ascii="仿宋" w:hAnsi="仿宋" w:eastAsia="仿宋" w:cs="仿宋"/>
          <w:sz w:val="44"/>
          <w:szCs w:val="44"/>
          <w:lang w:val="en-US" w:eastAsia="zh-CN"/>
        </w:rPr>
      </w:pPr>
    </w:p>
    <w:p>
      <w:pPr>
        <w:pStyle w:val="3"/>
        <w:rPr>
          <w:rFonts w:hint="eastAsia"/>
          <w:lang w:val="en-US" w:eastAsia="zh-CN"/>
        </w:rPr>
      </w:pPr>
    </w:p>
    <w:p>
      <w:pPr>
        <w:pStyle w:val="2"/>
        <w:jc w:val="both"/>
        <w:rPr>
          <w:rFonts w:hint="eastAsia" w:ascii="仿宋" w:hAnsi="仿宋" w:eastAsia="仿宋" w:cs="仿宋"/>
          <w:sz w:val="44"/>
          <w:szCs w:val="44"/>
          <w:lang w:val="en-US" w:eastAsia="zh-CN"/>
        </w:rPr>
      </w:pPr>
    </w:p>
    <w:p>
      <w:pPr>
        <w:pStyle w:val="2"/>
        <w:jc w:val="both"/>
        <w:rPr>
          <w:rFonts w:hint="eastAsia" w:ascii="仿宋" w:hAnsi="仿宋" w:eastAsia="仿宋" w:cs="仿宋"/>
          <w:sz w:val="44"/>
          <w:szCs w:val="44"/>
          <w:lang w:val="en-US" w:eastAsia="zh-CN"/>
        </w:rPr>
      </w:pPr>
    </w:p>
    <w:p>
      <w:pPr>
        <w:pStyle w:val="2"/>
        <w:jc w:val="both"/>
        <w:rPr>
          <w:rFonts w:hint="eastAsia" w:ascii="仿宋" w:hAnsi="仿宋" w:eastAsia="仿宋" w:cs="仿宋"/>
          <w:sz w:val="44"/>
          <w:szCs w:val="44"/>
          <w:lang w:val="en-US" w:eastAsia="zh-CN"/>
        </w:rPr>
      </w:pPr>
    </w:p>
    <w:p>
      <w:pPr>
        <w:pStyle w:val="2"/>
        <w:jc w:val="both"/>
        <w:rPr>
          <w:rFonts w:hint="eastAsia" w:ascii="仿宋" w:hAnsi="仿宋" w:eastAsia="仿宋" w:cs="仿宋"/>
          <w:sz w:val="44"/>
          <w:szCs w:val="44"/>
          <w:lang w:val="en-US" w:eastAsia="zh-CN"/>
        </w:rPr>
      </w:pPr>
    </w:p>
    <w:p>
      <w:pPr>
        <w:pStyle w:val="2"/>
        <w:jc w:val="both"/>
        <w:rPr>
          <w:rFonts w:hint="eastAsia" w:ascii="仿宋" w:hAnsi="仿宋" w:eastAsia="仿宋" w:cs="仿宋"/>
          <w:sz w:val="44"/>
          <w:szCs w:val="44"/>
          <w:lang w:val="en-US" w:eastAsia="zh-CN"/>
        </w:rPr>
      </w:pPr>
    </w:p>
    <w:p>
      <w:pPr>
        <w:pStyle w:val="3"/>
        <w:rPr>
          <w:rFonts w:hint="eastAsia" w:ascii="仿宋" w:hAnsi="仿宋" w:eastAsia="仿宋" w:cs="仿宋"/>
          <w:sz w:val="44"/>
          <w:szCs w:val="44"/>
          <w:lang w:val="en-US" w:eastAsia="zh-CN"/>
        </w:rPr>
      </w:pPr>
    </w:p>
    <w:p>
      <w:pPr>
        <w:pStyle w:val="2"/>
        <w:jc w:val="both"/>
        <w:rPr>
          <w:rFonts w:hint="eastAsia"/>
          <w:lang w:val="en-US" w:eastAsia="zh-CN"/>
        </w:rPr>
      </w:pPr>
    </w:p>
    <w:p>
      <w:pPr>
        <w:pStyle w:val="3"/>
        <w:ind w:left="0" w:leftChars="0" w:firstLine="0" w:firstLineChars="0"/>
        <w:rPr>
          <w:rFonts w:hint="eastAsia"/>
          <w:lang w:eastAsia="zh-CN"/>
        </w:rPr>
      </w:pPr>
    </w:p>
    <w:p>
      <w:pPr>
        <w:keepNext w:val="0"/>
        <w:keepLines w:val="0"/>
        <w:pageBreakBefore w:val="0"/>
        <w:widowControl w:val="0"/>
        <w:pBdr>
          <w:top w:val="single" w:color="auto" w:sz="8" w:space="1"/>
          <w:bottom w:val="single" w:color="auto" w:sz="8" w:space="1"/>
        </w:pBdr>
        <w:kinsoku/>
        <w:wordWrap/>
        <w:overflowPunct/>
        <w:topLinePunct w:val="0"/>
        <w:autoSpaceDE/>
        <w:autoSpaceDN/>
        <w:bidi w:val="0"/>
        <w:adjustRightInd/>
        <w:snapToGrid/>
        <w:spacing w:line="400" w:lineRule="exact"/>
        <w:textAlignment w:val="auto"/>
        <w:outlineLvl w:val="9"/>
        <w:rPr>
          <w:rFonts w:hint="eastAsia" w:ascii="仿宋" w:hAnsi="仿宋" w:eastAsia="仿宋" w:cs="仿宋"/>
          <w:sz w:val="44"/>
          <w:szCs w:val="44"/>
          <w:lang w:val="en-US" w:eastAsia="zh-CN"/>
        </w:rPr>
      </w:pPr>
      <w:r>
        <w:rPr>
          <w:rFonts w:hint="eastAsia" w:ascii="仿宋" w:hAnsi="仿宋" w:eastAsia="仿宋" w:cs="仿宋"/>
          <w:sz w:val="28"/>
          <w:szCs w:val="28"/>
        </w:rPr>
        <w:t xml:space="preserve">  湖南省人力资源和社会保障厅</w:t>
      </w:r>
      <w:r>
        <w:rPr>
          <w:rFonts w:hint="eastAsia" w:ascii="仿宋" w:hAnsi="仿宋" w:eastAsia="仿宋" w:cs="仿宋"/>
          <w:sz w:val="28"/>
          <w:szCs w:val="28"/>
          <w:lang w:eastAsia="zh-CN"/>
        </w:rPr>
        <w:t>办公室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w:t>
      </w:r>
      <w:r>
        <w:rPr>
          <w:rFonts w:hint="eastAsia" w:ascii="仿宋" w:hAnsi="仿宋" w:eastAsia="仿宋" w:cs="仿宋"/>
          <w:sz w:val="28"/>
          <w:szCs w:val="28"/>
          <w:lang w:val="en"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日印</w:t>
      </w:r>
      <w:r>
        <w:rPr>
          <w:rFonts w:hint="eastAsia" w:ascii="仿宋" w:hAnsi="仿宋" w:eastAsia="仿宋" w:cs="仿宋"/>
          <w:sz w:val="28"/>
          <w:szCs w:val="28"/>
          <w:lang w:eastAsia="zh-CN"/>
        </w:rPr>
        <w:t>发</w:t>
      </w:r>
    </w:p>
    <w:sectPr>
      <w:footerReference r:id="rId4" w:type="first"/>
      <w:footerReference r:id="rId3" w:type="default"/>
      <w:pgSz w:w="11850" w:h="16783"/>
      <w:pgMar w:top="2098" w:right="1474" w:bottom="1984" w:left="1587" w:header="850" w:footer="1587" w:gutter="0"/>
      <w:pgNumType w:fmt="decimal" w:start="1"/>
      <w:cols w:space="0" w:num="1"/>
      <w:titlePg/>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00"/>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_x000B__x000C_">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779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977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77pt;mso-position-horizontal:outside;mso-position-horizontal-relative:margin;z-index:251660288;mso-width-relative:page;mso-height-relative:page;" filled="f" stroked="f" coordsize="21600,21600" o:gfxdata="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m8bN00wAAAAUBAAAPAAAAAAAAAAEAIAAAADgAAABkcnMvZG93bnJldi54&#10;bWxQSwECFAAUAAAACACHTuJAtwsaUiICAAAqBAAADgAAAAAAAAABACAAAAA4AQAAZHJzL2Uyb0Rv&#10;Yy54bWxQSwUGAAAAAAYABgBZAQAAzAUAAAAA&#10;">
              <v:fill on="f" focussize="0,0"/>
              <v:stroke on="f" weight="0.5pt"/>
              <v:imagedata o:title=""/>
              <o:lock v:ext="edit" aspectratio="f"/>
              <v:textbox inset="0mm,0mm,0mm,0mm" style="mso-fit-shape-to-text:t;">
                <w:txbxContent>
                  <w:p>
                    <w:pPr>
                      <w:pStyle w:val="1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59"/>
  <w:drawingGridVerticalSpacing w:val="21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NTYwN2MzYzkwOTY5MWEwMGEzMTdmMTNiZGNjMzgifQ=="/>
  </w:docVars>
  <w:rsids>
    <w:rsidRoot w:val="00363780"/>
    <w:rsid w:val="00000852"/>
    <w:rsid w:val="00000AB2"/>
    <w:rsid w:val="00004AED"/>
    <w:rsid w:val="00004F0E"/>
    <w:rsid w:val="0000517D"/>
    <w:rsid w:val="000054D8"/>
    <w:rsid w:val="00006C68"/>
    <w:rsid w:val="00006C83"/>
    <w:rsid w:val="00006E26"/>
    <w:rsid w:val="00007684"/>
    <w:rsid w:val="00007C1F"/>
    <w:rsid w:val="00010074"/>
    <w:rsid w:val="000114A5"/>
    <w:rsid w:val="00012535"/>
    <w:rsid w:val="000130DE"/>
    <w:rsid w:val="0001698F"/>
    <w:rsid w:val="00017B77"/>
    <w:rsid w:val="000201DF"/>
    <w:rsid w:val="00022600"/>
    <w:rsid w:val="00022ECE"/>
    <w:rsid w:val="00022F0F"/>
    <w:rsid w:val="00024470"/>
    <w:rsid w:val="0002474B"/>
    <w:rsid w:val="00027DBB"/>
    <w:rsid w:val="000305EE"/>
    <w:rsid w:val="00031DBD"/>
    <w:rsid w:val="00034A2B"/>
    <w:rsid w:val="00036287"/>
    <w:rsid w:val="0003725B"/>
    <w:rsid w:val="000372E5"/>
    <w:rsid w:val="00040505"/>
    <w:rsid w:val="00040CC9"/>
    <w:rsid w:val="000415B4"/>
    <w:rsid w:val="00041DC2"/>
    <w:rsid w:val="000424F0"/>
    <w:rsid w:val="000431BD"/>
    <w:rsid w:val="000437EC"/>
    <w:rsid w:val="0004411C"/>
    <w:rsid w:val="00047BDF"/>
    <w:rsid w:val="00047C32"/>
    <w:rsid w:val="000500E9"/>
    <w:rsid w:val="000511D9"/>
    <w:rsid w:val="000529F5"/>
    <w:rsid w:val="00053205"/>
    <w:rsid w:val="00053D3D"/>
    <w:rsid w:val="00053DC7"/>
    <w:rsid w:val="00054F37"/>
    <w:rsid w:val="000551FA"/>
    <w:rsid w:val="000568F9"/>
    <w:rsid w:val="00057DC1"/>
    <w:rsid w:val="00060363"/>
    <w:rsid w:val="00060DCF"/>
    <w:rsid w:val="000613A2"/>
    <w:rsid w:val="0006174A"/>
    <w:rsid w:val="00067AAD"/>
    <w:rsid w:val="00073E50"/>
    <w:rsid w:val="00073FCA"/>
    <w:rsid w:val="00075960"/>
    <w:rsid w:val="00080E36"/>
    <w:rsid w:val="00083537"/>
    <w:rsid w:val="0008371A"/>
    <w:rsid w:val="000838BF"/>
    <w:rsid w:val="00084820"/>
    <w:rsid w:val="0008561D"/>
    <w:rsid w:val="0008768D"/>
    <w:rsid w:val="000901DD"/>
    <w:rsid w:val="000913F2"/>
    <w:rsid w:val="000953BB"/>
    <w:rsid w:val="000958AF"/>
    <w:rsid w:val="000A039A"/>
    <w:rsid w:val="000A3766"/>
    <w:rsid w:val="000A3E20"/>
    <w:rsid w:val="000A6639"/>
    <w:rsid w:val="000A7115"/>
    <w:rsid w:val="000B3742"/>
    <w:rsid w:val="000B3ACB"/>
    <w:rsid w:val="000B4D80"/>
    <w:rsid w:val="000B55C5"/>
    <w:rsid w:val="000B5F3A"/>
    <w:rsid w:val="000B6D9B"/>
    <w:rsid w:val="000B7DFE"/>
    <w:rsid w:val="000B7E98"/>
    <w:rsid w:val="000C469C"/>
    <w:rsid w:val="000C7CE1"/>
    <w:rsid w:val="000C7EC9"/>
    <w:rsid w:val="000D1F49"/>
    <w:rsid w:val="000D20E1"/>
    <w:rsid w:val="000D22CE"/>
    <w:rsid w:val="000D38A3"/>
    <w:rsid w:val="000D6022"/>
    <w:rsid w:val="000E01B6"/>
    <w:rsid w:val="000E0501"/>
    <w:rsid w:val="000E151E"/>
    <w:rsid w:val="000E1EC1"/>
    <w:rsid w:val="000E2C7A"/>
    <w:rsid w:val="000E4DD5"/>
    <w:rsid w:val="000E78BC"/>
    <w:rsid w:val="000F073C"/>
    <w:rsid w:val="000F15C4"/>
    <w:rsid w:val="000F411B"/>
    <w:rsid w:val="000F44EF"/>
    <w:rsid w:val="000F4CC4"/>
    <w:rsid w:val="000F791B"/>
    <w:rsid w:val="0010109B"/>
    <w:rsid w:val="001015DB"/>
    <w:rsid w:val="001023A3"/>
    <w:rsid w:val="00103E04"/>
    <w:rsid w:val="00106294"/>
    <w:rsid w:val="0010724C"/>
    <w:rsid w:val="00111B92"/>
    <w:rsid w:val="00112D61"/>
    <w:rsid w:val="0011395A"/>
    <w:rsid w:val="001145CD"/>
    <w:rsid w:val="00115431"/>
    <w:rsid w:val="001157FF"/>
    <w:rsid w:val="00116926"/>
    <w:rsid w:val="00117FF9"/>
    <w:rsid w:val="00122FE3"/>
    <w:rsid w:val="001237BB"/>
    <w:rsid w:val="001350BE"/>
    <w:rsid w:val="00135685"/>
    <w:rsid w:val="00142EAA"/>
    <w:rsid w:val="001441C9"/>
    <w:rsid w:val="00144E07"/>
    <w:rsid w:val="00146A58"/>
    <w:rsid w:val="00147EE5"/>
    <w:rsid w:val="001509C7"/>
    <w:rsid w:val="00150C21"/>
    <w:rsid w:val="001538F0"/>
    <w:rsid w:val="00153BC8"/>
    <w:rsid w:val="0015491A"/>
    <w:rsid w:val="001557A0"/>
    <w:rsid w:val="001569D6"/>
    <w:rsid w:val="0016150D"/>
    <w:rsid w:val="001625B7"/>
    <w:rsid w:val="00165401"/>
    <w:rsid w:val="00167A0E"/>
    <w:rsid w:val="0017029A"/>
    <w:rsid w:val="00170BC2"/>
    <w:rsid w:val="001734F0"/>
    <w:rsid w:val="00176870"/>
    <w:rsid w:val="001777E6"/>
    <w:rsid w:val="0018080C"/>
    <w:rsid w:val="00180AD9"/>
    <w:rsid w:val="001834EB"/>
    <w:rsid w:val="00184586"/>
    <w:rsid w:val="001877A5"/>
    <w:rsid w:val="00190E67"/>
    <w:rsid w:val="00192343"/>
    <w:rsid w:val="00197C1A"/>
    <w:rsid w:val="001A0CA7"/>
    <w:rsid w:val="001A0E89"/>
    <w:rsid w:val="001A100E"/>
    <w:rsid w:val="001A101B"/>
    <w:rsid w:val="001A1104"/>
    <w:rsid w:val="001A70CB"/>
    <w:rsid w:val="001B11A5"/>
    <w:rsid w:val="001B2367"/>
    <w:rsid w:val="001B2A44"/>
    <w:rsid w:val="001B2C14"/>
    <w:rsid w:val="001B630C"/>
    <w:rsid w:val="001C0CEE"/>
    <w:rsid w:val="001C412B"/>
    <w:rsid w:val="001C5252"/>
    <w:rsid w:val="001D3084"/>
    <w:rsid w:val="001D3459"/>
    <w:rsid w:val="001D3EE1"/>
    <w:rsid w:val="001D3F65"/>
    <w:rsid w:val="001D407B"/>
    <w:rsid w:val="001D4510"/>
    <w:rsid w:val="001D52E8"/>
    <w:rsid w:val="001D555D"/>
    <w:rsid w:val="001D7454"/>
    <w:rsid w:val="001D764C"/>
    <w:rsid w:val="001D789A"/>
    <w:rsid w:val="001E15E7"/>
    <w:rsid w:val="001E2D89"/>
    <w:rsid w:val="001E4028"/>
    <w:rsid w:val="001E504B"/>
    <w:rsid w:val="001E5E9B"/>
    <w:rsid w:val="001E6FE5"/>
    <w:rsid w:val="001E7CA6"/>
    <w:rsid w:val="001F057C"/>
    <w:rsid w:val="001F18F9"/>
    <w:rsid w:val="001F2DCE"/>
    <w:rsid w:val="001F5AD8"/>
    <w:rsid w:val="00200125"/>
    <w:rsid w:val="002009A8"/>
    <w:rsid w:val="00202D30"/>
    <w:rsid w:val="0020414B"/>
    <w:rsid w:val="0020586A"/>
    <w:rsid w:val="00205A3D"/>
    <w:rsid w:val="00210A2E"/>
    <w:rsid w:val="00211F97"/>
    <w:rsid w:val="00212BD6"/>
    <w:rsid w:val="00213AF4"/>
    <w:rsid w:val="002225A9"/>
    <w:rsid w:val="00223EA6"/>
    <w:rsid w:val="0022433A"/>
    <w:rsid w:val="002265B4"/>
    <w:rsid w:val="00227766"/>
    <w:rsid w:val="002279B5"/>
    <w:rsid w:val="0023000B"/>
    <w:rsid w:val="002336E2"/>
    <w:rsid w:val="0023688B"/>
    <w:rsid w:val="002368B6"/>
    <w:rsid w:val="00236D84"/>
    <w:rsid w:val="00237760"/>
    <w:rsid w:val="00240157"/>
    <w:rsid w:val="00240BF1"/>
    <w:rsid w:val="00241C6B"/>
    <w:rsid w:val="0024369B"/>
    <w:rsid w:val="00243839"/>
    <w:rsid w:val="00244054"/>
    <w:rsid w:val="0024462A"/>
    <w:rsid w:val="00250805"/>
    <w:rsid w:val="00252B69"/>
    <w:rsid w:val="00253CE9"/>
    <w:rsid w:val="0026055A"/>
    <w:rsid w:val="002617AC"/>
    <w:rsid w:val="002632D3"/>
    <w:rsid w:val="00266E61"/>
    <w:rsid w:val="0026782B"/>
    <w:rsid w:val="00270CFA"/>
    <w:rsid w:val="0027129D"/>
    <w:rsid w:val="002713BE"/>
    <w:rsid w:val="00272416"/>
    <w:rsid w:val="00273344"/>
    <w:rsid w:val="00274683"/>
    <w:rsid w:val="00274A94"/>
    <w:rsid w:val="00275269"/>
    <w:rsid w:val="00275A40"/>
    <w:rsid w:val="00277281"/>
    <w:rsid w:val="0028083A"/>
    <w:rsid w:val="0028156B"/>
    <w:rsid w:val="0028301E"/>
    <w:rsid w:val="00283989"/>
    <w:rsid w:val="002842DC"/>
    <w:rsid w:val="00286712"/>
    <w:rsid w:val="0028678F"/>
    <w:rsid w:val="002871E9"/>
    <w:rsid w:val="00287635"/>
    <w:rsid w:val="00293036"/>
    <w:rsid w:val="00293647"/>
    <w:rsid w:val="00294CEA"/>
    <w:rsid w:val="002953E1"/>
    <w:rsid w:val="00295971"/>
    <w:rsid w:val="0029765D"/>
    <w:rsid w:val="002A1921"/>
    <w:rsid w:val="002A21AD"/>
    <w:rsid w:val="002A25B8"/>
    <w:rsid w:val="002A372B"/>
    <w:rsid w:val="002A3F97"/>
    <w:rsid w:val="002B06D6"/>
    <w:rsid w:val="002B0A6B"/>
    <w:rsid w:val="002B5A86"/>
    <w:rsid w:val="002C01D3"/>
    <w:rsid w:val="002C0B09"/>
    <w:rsid w:val="002C404B"/>
    <w:rsid w:val="002C455F"/>
    <w:rsid w:val="002C4A85"/>
    <w:rsid w:val="002C6656"/>
    <w:rsid w:val="002C6F96"/>
    <w:rsid w:val="002C71B0"/>
    <w:rsid w:val="002D1EE2"/>
    <w:rsid w:val="002D4262"/>
    <w:rsid w:val="002D72AC"/>
    <w:rsid w:val="002E01E2"/>
    <w:rsid w:val="002E10B5"/>
    <w:rsid w:val="002E1E7E"/>
    <w:rsid w:val="002E3050"/>
    <w:rsid w:val="002E3D9F"/>
    <w:rsid w:val="002E5C35"/>
    <w:rsid w:val="002E622D"/>
    <w:rsid w:val="002E6704"/>
    <w:rsid w:val="002E6D3C"/>
    <w:rsid w:val="002E71E8"/>
    <w:rsid w:val="002F0047"/>
    <w:rsid w:val="002F0235"/>
    <w:rsid w:val="002F4DC2"/>
    <w:rsid w:val="00300B5D"/>
    <w:rsid w:val="0030117D"/>
    <w:rsid w:val="00301BC9"/>
    <w:rsid w:val="00302189"/>
    <w:rsid w:val="00302632"/>
    <w:rsid w:val="00302FAF"/>
    <w:rsid w:val="0030340D"/>
    <w:rsid w:val="00305506"/>
    <w:rsid w:val="00305A8A"/>
    <w:rsid w:val="00305FC9"/>
    <w:rsid w:val="00307D8C"/>
    <w:rsid w:val="003115F0"/>
    <w:rsid w:val="00312D04"/>
    <w:rsid w:val="00313306"/>
    <w:rsid w:val="00313CFF"/>
    <w:rsid w:val="00314720"/>
    <w:rsid w:val="003154D2"/>
    <w:rsid w:val="00316E98"/>
    <w:rsid w:val="00317E90"/>
    <w:rsid w:val="003226BE"/>
    <w:rsid w:val="00323786"/>
    <w:rsid w:val="00323A03"/>
    <w:rsid w:val="003257C9"/>
    <w:rsid w:val="0032622C"/>
    <w:rsid w:val="00330B14"/>
    <w:rsid w:val="00332C4E"/>
    <w:rsid w:val="00336CD3"/>
    <w:rsid w:val="0034065A"/>
    <w:rsid w:val="00342E3E"/>
    <w:rsid w:val="003473DE"/>
    <w:rsid w:val="00350AC6"/>
    <w:rsid w:val="00351C13"/>
    <w:rsid w:val="003523C1"/>
    <w:rsid w:val="00352B3A"/>
    <w:rsid w:val="0035460D"/>
    <w:rsid w:val="003548E1"/>
    <w:rsid w:val="00356858"/>
    <w:rsid w:val="00357571"/>
    <w:rsid w:val="00363780"/>
    <w:rsid w:val="00364F0E"/>
    <w:rsid w:val="00365DA0"/>
    <w:rsid w:val="00370C50"/>
    <w:rsid w:val="00375F6C"/>
    <w:rsid w:val="00376EB7"/>
    <w:rsid w:val="00382512"/>
    <w:rsid w:val="00384D21"/>
    <w:rsid w:val="003856B5"/>
    <w:rsid w:val="003873FC"/>
    <w:rsid w:val="0039066F"/>
    <w:rsid w:val="0039101E"/>
    <w:rsid w:val="00392B7B"/>
    <w:rsid w:val="0039794B"/>
    <w:rsid w:val="003A0F9B"/>
    <w:rsid w:val="003A1DB9"/>
    <w:rsid w:val="003A32C9"/>
    <w:rsid w:val="003A4736"/>
    <w:rsid w:val="003A5F65"/>
    <w:rsid w:val="003A7B19"/>
    <w:rsid w:val="003A7B4D"/>
    <w:rsid w:val="003B0A63"/>
    <w:rsid w:val="003B1203"/>
    <w:rsid w:val="003B1298"/>
    <w:rsid w:val="003B2ECA"/>
    <w:rsid w:val="003B41C2"/>
    <w:rsid w:val="003B5FA8"/>
    <w:rsid w:val="003B65C7"/>
    <w:rsid w:val="003C0565"/>
    <w:rsid w:val="003C0CA2"/>
    <w:rsid w:val="003C23ED"/>
    <w:rsid w:val="003C2665"/>
    <w:rsid w:val="003C27E1"/>
    <w:rsid w:val="003C4899"/>
    <w:rsid w:val="003C4954"/>
    <w:rsid w:val="003C6FD0"/>
    <w:rsid w:val="003C729B"/>
    <w:rsid w:val="003C770C"/>
    <w:rsid w:val="003D09E7"/>
    <w:rsid w:val="003D4F27"/>
    <w:rsid w:val="003E276B"/>
    <w:rsid w:val="003E33D1"/>
    <w:rsid w:val="003E39A2"/>
    <w:rsid w:val="003E62BA"/>
    <w:rsid w:val="003E772E"/>
    <w:rsid w:val="003F4D7F"/>
    <w:rsid w:val="003F7AB6"/>
    <w:rsid w:val="00404CBB"/>
    <w:rsid w:val="004056AC"/>
    <w:rsid w:val="004068B6"/>
    <w:rsid w:val="00406FA9"/>
    <w:rsid w:val="00407A08"/>
    <w:rsid w:val="004103AA"/>
    <w:rsid w:val="00410413"/>
    <w:rsid w:val="004111FE"/>
    <w:rsid w:val="00412092"/>
    <w:rsid w:val="00412699"/>
    <w:rsid w:val="00412E25"/>
    <w:rsid w:val="004133F4"/>
    <w:rsid w:val="004137A5"/>
    <w:rsid w:val="00416386"/>
    <w:rsid w:val="004171C3"/>
    <w:rsid w:val="00417380"/>
    <w:rsid w:val="00417A9C"/>
    <w:rsid w:val="00417C07"/>
    <w:rsid w:val="004221E6"/>
    <w:rsid w:val="0042593F"/>
    <w:rsid w:val="00426A2E"/>
    <w:rsid w:val="00430DCC"/>
    <w:rsid w:val="00431419"/>
    <w:rsid w:val="00432E33"/>
    <w:rsid w:val="00434A91"/>
    <w:rsid w:val="00434EAD"/>
    <w:rsid w:val="00437298"/>
    <w:rsid w:val="004423F1"/>
    <w:rsid w:val="00442DCD"/>
    <w:rsid w:val="00444724"/>
    <w:rsid w:val="004478D1"/>
    <w:rsid w:val="00447A29"/>
    <w:rsid w:val="00454BE6"/>
    <w:rsid w:val="00455381"/>
    <w:rsid w:val="0046193A"/>
    <w:rsid w:val="00465CE9"/>
    <w:rsid w:val="00471407"/>
    <w:rsid w:val="00471F2D"/>
    <w:rsid w:val="0047413D"/>
    <w:rsid w:val="00474593"/>
    <w:rsid w:val="00474A36"/>
    <w:rsid w:val="00476452"/>
    <w:rsid w:val="00480635"/>
    <w:rsid w:val="00482220"/>
    <w:rsid w:val="00482F7E"/>
    <w:rsid w:val="00491998"/>
    <w:rsid w:val="00491E4E"/>
    <w:rsid w:val="00492E08"/>
    <w:rsid w:val="004945F5"/>
    <w:rsid w:val="004A07BD"/>
    <w:rsid w:val="004A0F2C"/>
    <w:rsid w:val="004A2432"/>
    <w:rsid w:val="004A3601"/>
    <w:rsid w:val="004A40DE"/>
    <w:rsid w:val="004B2480"/>
    <w:rsid w:val="004B4163"/>
    <w:rsid w:val="004B4BDA"/>
    <w:rsid w:val="004B5076"/>
    <w:rsid w:val="004B50BC"/>
    <w:rsid w:val="004C3960"/>
    <w:rsid w:val="004C49CF"/>
    <w:rsid w:val="004C6E15"/>
    <w:rsid w:val="004D1256"/>
    <w:rsid w:val="004D3DEA"/>
    <w:rsid w:val="004D47B1"/>
    <w:rsid w:val="004D573B"/>
    <w:rsid w:val="004D729E"/>
    <w:rsid w:val="004D7716"/>
    <w:rsid w:val="004E0E79"/>
    <w:rsid w:val="004E3977"/>
    <w:rsid w:val="004E3FE8"/>
    <w:rsid w:val="004E4659"/>
    <w:rsid w:val="004E5BAC"/>
    <w:rsid w:val="004E6F0E"/>
    <w:rsid w:val="004E6F84"/>
    <w:rsid w:val="004F00AF"/>
    <w:rsid w:val="004F2CDA"/>
    <w:rsid w:val="004F5B79"/>
    <w:rsid w:val="004F5B89"/>
    <w:rsid w:val="004F731C"/>
    <w:rsid w:val="004F7FC9"/>
    <w:rsid w:val="00503BBA"/>
    <w:rsid w:val="00506A23"/>
    <w:rsid w:val="00510887"/>
    <w:rsid w:val="00510AEA"/>
    <w:rsid w:val="0051223E"/>
    <w:rsid w:val="005133AC"/>
    <w:rsid w:val="005133DE"/>
    <w:rsid w:val="00513DB1"/>
    <w:rsid w:val="005140BA"/>
    <w:rsid w:val="0051444E"/>
    <w:rsid w:val="0051482E"/>
    <w:rsid w:val="00514AFE"/>
    <w:rsid w:val="00514FBD"/>
    <w:rsid w:val="00515615"/>
    <w:rsid w:val="00516288"/>
    <w:rsid w:val="00517A67"/>
    <w:rsid w:val="00525B4C"/>
    <w:rsid w:val="00525BBA"/>
    <w:rsid w:val="005266DB"/>
    <w:rsid w:val="00526D33"/>
    <w:rsid w:val="00526F86"/>
    <w:rsid w:val="005279FF"/>
    <w:rsid w:val="0053080F"/>
    <w:rsid w:val="00533882"/>
    <w:rsid w:val="00535416"/>
    <w:rsid w:val="0053696D"/>
    <w:rsid w:val="00542B01"/>
    <w:rsid w:val="00543E72"/>
    <w:rsid w:val="00546F13"/>
    <w:rsid w:val="005528F3"/>
    <w:rsid w:val="00552937"/>
    <w:rsid w:val="0055380F"/>
    <w:rsid w:val="0055494F"/>
    <w:rsid w:val="0055674A"/>
    <w:rsid w:val="00561374"/>
    <w:rsid w:val="00561646"/>
    <w:rsid w:val="00562B4E"/>
    <w:rsid w:val="0056779A"/>
    <w:rsid w:val="00573F82"/>
    <w:rsid w:val="0057619F"/>
    <w:rsid w:val="005828B2"/>
    <w:rsid w:val="0058330D"/>
    <w:rsid w:val="00583382"/>
    <w:rsid w:val="00583D9C"/>
    <w:rsid w:val="00585AE7"/>
    <w:rsid w:val="0059075F"/>
    <w:rsid w:val="0059118A"/>
    <w:rsid w:val="005936D9"/>
    <w:rsid w:val="0059448B"/>
    <w:rsid w:val="00597358"/>
    <w:rsid w:val="005A094B"/>
    <w:rsid w:val="005A3FC4"/>
    <w:rsid w:val="005A6051"/>
    <w:rsid w:val="005A728A"/>
    <w:rsid w:val="005B0E60"/>
    <w:rsid w:val="005B7AE9"/>
    <w:rsid w:val="005C0E14"/>
    <w:rsid w:val="005C0E20"/>
    <w:rsid w:val="005C2186"/>
    <w:rsid w:val="005C2D8C"/>
    <w:rsid w:val="005C3439"/>
    <w:rsid w:val="005C386D"/>
    <w:rsid w:val="005C3B9F"/>
    <w:rsid w:val="005C41E2"/>
    <w:rsid w:val="005C41E5"/>
    <w:rsid w:val="005C5144"/>
    <w:rsid w:val="005D109E"/>
    <w:rsid w:val="005D2C24"/>
    <w:rsid w:val="005D3173"/>
    <w:rsid w:val="005E1898"/>
    <w:rsid w:val="005E2052"/>
    <w:rsid w:val="005F04E4"/>
    <w:rsid w:val="005F09D8"/>
    <w:rsid w:val="005F1815"/>
    <w:rsid w:val="005F2F1F"/>
    <w:rsid w:val="005F7A6F"/>
    <w:rsid w:val="0060112A"/>
    <w:rsid w:val="00601ED3"/>
    <w:rsid w:val="00601F63"/>
    <w:rsid w:val="00605D73"/>
    <w:rsid w:val="00606601"/>
    <w:rsid w:val="00606756"/>
    <w:rsid w:val="006067FD"/>
    <w:rsid w:val="00606950"/>
    <w:rsid w:val="006076E2"/>
    <w:rsid w:val="0061131F"/>
    <w:rsid w:val="0061492E"/>
    <w:rsid w:val="00620833"/>
    <w:rsid w:val="00621DF3"/>
    <w:rsid w:val="00622CBE"/>
    <w:rsid w:val="00630E80"/>
    <w:rsid w:val="00632F6A"/>
    <w:rsid w:val="00633A40"/>
    <w:rsid w:val="00633C46"/>
    <w:rsid w:val="0064274B"/>
    <w:rsid w:val="00642771"/>
    <w:rsid w:val="00650D71"/>
    <w:rsid w:val="00651074"/>
    <w:rsid w:val="0065216A"/>
    <w:rsid w:val="006537E4"/>
    <w:rsid w:val="0065486F"/>
    <w:rsid w:val="00655076"/>
    <w:rsid w:val="00655EFA"/>
    <w:rsid w:val="0065796D"/>
    <w:rsid w:val="00657BF3"/>
    <w:rsid w:val="0066261A"/>
    <w:rsid w:val="00665651"/>
    <w:rsid w:val="006700CB"/>
    <w:rsid w:val="006704D4"/>
    <w:rsid w:val="00673113"/>
    <w:rsid w:val="00675453"/>
    <w:rsid w:val="00675A5D"/>
    <w:rsid w:val="00681A1D"/>
    <w:rsid w:val="006863B4"/>
    <w:rsid w:val="006902D3"/>
    <w:rsid w:val="00690EB9"/>
    <w:rsid w:val="00691332"/>
    <w:rsid w:val="00692190"/>
    <w:rsid w:val="00694109"/>
    <w:rsid w:val="00694541"/>
    <w:rsid w:val="00696D4F"/>
    <w:rsid w:val="006A1341"/>
    <w:rsid w:val="006A3B35"/>
    <w:rsid w:val="006A3C45"/>
    <w:rsid w:val="006A4A0E"/>
    <w:rsid w:val="006A4B0C"/>
    <w:rsid w:val="006A647F"/>
    <w:rsid w:val="006B0C08"/>
    <w:rsid w:val="006B0D83"/>
    <w:rsid w:val="006B0E7D"/>
    <w:rsid w:val="006B10AF"/>
    <w:rsid w:val="006B1A30"/>
    <w:rsid w:val="006B74EA"/>
    <w:rsid w:val="006C272B"/>
    <w:rsid w:val="006C4B05"/>
    <w:rsid w:val="006C629A"/>
    <w:rsid w:val="006C7154"/>
    <w:rsid w:val="006D049E"/>
    <w:rsid w:val="006D06E2"/>
    <w:rsid w:val="006D1C60"/>
    <w:rsid w:val="006D33F2"/>
    <w:rsid w:val="006D3BAB"/>
    <w:rsid w:val="006E020E"/>
    <w:rsid w:val="006E02C2"/>
    <w:rsid w:val="006E3197"/>
    <w:rsid w:val="006E3527"/>
    <w:rsid w:val="006E6377"/>
    <w:rsid w:val="006F381F"/>
    <w:rsid w:val="006F447F"/>
    <w:rsid w:val="006F5128"/>
    <w:rsid w:val="007033EE"/>
    <w:rsid w:val="00703E14"/>
    <w:rsid w:val="007051DD"/>
    <w:rsid w:val="00705D61"/>
    <w:rsid w:val="00712726"/>
    <w:rsid w:val="007138CD"/>
    <w:rsid w:val="007148FE"/>
    <w:rsid w:val="007164BD"/>
    <w:rsid w:val="00721091"/>
    <w:rsid w:val="00721F2F"/>
    <w:rsid w:val="00722B41"/>
    <w:rsid w:val="00722D97"/>
    <w:rsid w:val="00725EA7"/>
    <w:rsid w:val="007265BE"/>
    <w:rsid w:val="00730736"/>
    <w:rsid w:val="00731C00"/>
    <w:rsid w:val="00732419"/>
    <w:rsid w:val="007325E5"/>
    <w:rsid w:val="0073295C"/>
    <w:rsid w:val="00734AC2"/>
    <w:rsid w:val="00735DC3"/>
    <w:rsid w:val="00736A28"/>
    <w:rsid w:val="00736A48"/>
    <w:rsid w:val="00741592"/>
    <w:rsid w:val="007434ED"/>
    <w:rsid w:val="00746F4E"/>
    <w:rsid w:val="00747EB2"/>
    <w:rsid w:val="007500FD"/>
    <w:rsid w:val="00751483"/>
    <w:rsid w:val="00751D04"/>
    <w:rsid w:val="00753195"/>
    <w:rsid w:val="00756F25"/>
    <w:rsid w:val="00760D92"/>
    <w:rsid w:val="00761373"/>
    <w:rsid w:val="00766308"/>
    <w:rsid w:val="007672A5"/>
    <w:rsid w:val="00767855"/>
    <w:rsid w:val="00767ED0"/>
    <w:rsid w:val="0077099A"/>
    <w:rsid w:val="00771A2F"/>
    <w:rsid w:val="00772887"/>
    <w:rsid w:val="007740C5"/>
    <w:rsid w:val="00775883"/>
    <w:rsid w:val="00777BD4"/>
    <w:rsid w:val="00780450"/>
    <w:rsid w:val="0078092E"/>
    <w:rsid w:val="007818F8"/>
    <w:rsid w:val="00782A5D"/>
    <w:rsid w:val="00783011"/>
    <w:rsid w:val="00783F62"/>
    <w:rsid w:val="007857E7"/>
    <w:rsid w:val="00790C0E"/>
    <w:rsid w:val="00790C4C"/>
    <w:rsid w:val="00791BBD"/>
    <w:rsid w:val="00792179"/>
    <w:rsid w:val="00792B34"/>
    <w:rsid w:val="007933C7"/>
    <w:rsid w:val="007955E3"/>
    <w:rsid w:val="007A0FC6"/>
    <w:rsid w:val="007A29BB"/>
    <w:rsid w:val="007B1069"/>
    <w:rsid w:val="007B12BE"/>
    <w:rsid w:val="007B19D5"/>
    <w:rsid w:val="007B1AC1"/>
    <w:rsid w:val="007B2655"/>
    <w:rsid w:val="007B5C8C"/>
    <w:rsid w:val="007B5DF8"/>
    <w:rsid w:val="007B746B"/>
    <w:rsid w:val="007C224C"/>
    <w:rsid w:val="007C2A05"/>
    <w:rsid w:val="007C2FD9"/>
    <w:rsid w:val="007C4B32"/>
    <w:rsid w:val="007D231B"/>
    <w:rsid w:val="007D2CF1"/>
    <w:rsid w:val="007D35DB"/>
    <w:rsid w:val="007D489D"/>
    <w:rsid w:val="007D4A70"/>
    <w:rsid w:val="007E3C8C"/>
    <w:rsid w:val="007E7488"/>
    <w:rsid w:val="007F4A7F"/>
    <w:rsid w:val="007F59CB"/>
    <w:rsid w:val="007F6DDE"/>
    <w:rsid w:val="008003C3"/>
    <w:rsid w:val="00801FA3"/>
    <w:rsid w:val="008046C1"/>
    <w:rsid w:val="0080505C"/>
    <w:rsid w:val="0080601A"/>
    <w:rsid w:val="0081056F"/>
    <w:rsid w:val="00811BB9"/>
    <w:rsid w:val="00816E77"/>
    <w:rsid w:val="00817A0E"/>
    <w:rsid w:val="008204DD"/>
    <w:rsid w:val="00820F69"/>
    <w:rsid w:val="0082620E"/>
    <w:rsid w:val="00826BCB"/>
    <w:rsid w:val="00826C23"/>
    <w:rsid w:val="00830284"/>
    <w:rsid w:val="008312F3"/>
    <w:rsid w:val="00831E22"/>
    <w:rsid w:val="00832648"/>
    <w:rsid w:val="00834333"/>
    <w:rsid w:val="008351D0"/>
    <w:rsid w:val="00835901"/>
    <w:rsid w:val="00836536"/>
    <w:rsid w:val="008372CF"/>
    <w:rsid w:val="00845025"/>
    <w:rsid w:val="00846843"/>
    <w:rsid w:val="00847636"/>
    <w:rsid w:val="00847AB1"/>
    <w:rsid w:val="00856273"/>
    <w:rsid w:val="00860247"/>
    <w:rsid w:val="00860A2F"/>
    <w:rsid w:val="00861193"/>
    <w:rsid w:val="00861FFB"/>
    <w:rsid w:val="008628F9"/>
    <w:rsid w:val="00863EC6"/>
    <w:rsid w:val="008649A5"/>
    <w:rsid w:val="00864CEF"/>
    <w:rsid w:val="00865ED2"/>
    <w:rsid w:val="00866529"/>
    <w:rsid w:val="0086775E"/>
    <w:rsid w:val="00870543"/>
    <w:rsid w:val="00870C72"/>
    <w:rsid w:val="008713FA"/>
    <w:rsid w:val="008732BF"/>
    <w:rsid w:val="008736E3"/>
    <w:rsid w:val="00873D0C"/>
    <w:rsid w:val="00882833"/>
    <w:rsid w:val="008834A0"/>
    <w:rsid w:val="008849A4"/>
    <w:rsid w:val="0089071B"/>
    <w:rsid w:val="008921FE"/>
    <w:rsid w:val="00894FC1"/>
    <w:rsid w:val="00895994"/>
    <w:rsid w:val="008961B9"/>
    <w:rsid w:val="00896B05"/>
    <w:rsid w:val="008A0EFB"/>
    <w:rsid w:val="008A2D6B"/>
    <w:rsid w:val="008A2FAB"/>
    <w:rsid w:val="008A400D"/>
    <w:rsid w:val="008A7CE5"/>
    <w:rsid w:val="008A7FE5"/>
    <w:rsid w:val="008B03CC"/>
    <w:rsid w:val="008B198F"/>
    <w:rsid w:val="008B3453"/>
    <w:rsid w:val="008C27CB"/>
    <w:rsid w:val="008D0801"/>
    <w:rsid w:val="008D209A"/>
    <w:rsid w:val="008D452A"/>
    <w:rsid w:val="008D4FD2"/>
    <w:rsid w:val="008D54A2"/>
    <w:rsid w:val="008E021D"/>
    <w:rsid w:val="008E0760"/>
    <w:rsid w:val="008E1949"/>
    <w:rsid w:val="008E43A2"/>
    <w:rsid w:val="008E793F"/>
    <w:rsid w:val="008E7A48"/>
    <w:rsid w:val="008F0692"/>
    <w:rsid w:val="008F0ABA"/>
    <w:rsid w:val="008F3547"/>
    <w:rsid w:val="008F4108"/>
    <w:rsid w:val="008F5057"/>
    <w:rsid w:val="008F6378"/>
    <w:rsid w:val="008F7416"/>
    <w:rsid w:val="00900CDA"/>
    <w:rsid w:val="00901DE6"/>
    <w:rsid w:val="00902100"/>
    <w:rsid w:val="00903B09"/>
    <w:rsid w:val="00907DA6"/>
    <w:rsid w:val="0091112C"/>
    <w:rsid w:val="00913FD6"/>
    <w:rsid w:val="0091414A"/>
    <w:rsid w:val="00914A93"/>
    <w:rsid w:val="00916E8F"/>
    <w:rsid w:val="00917386"/>
    <w:rsid w:val="00921D11"/>
    <w:rsid w:val="0092396E"/>
    <w:rsid w:val="0092488B"/>
    <w:rsid w:val="009250F1"/>
    <w:rsid w:val="00930E55"/>
    <w:rsid w:val="00932A3D"/>
    <w:rsid w:val="009376EC"/>
    <w:rsid w:val="00941FF9"/>
    <w:rsid w:val="00942876"/>
    <w:rsid w:val="009436C5"/>
    <w:rsid w:val="009457BB"/>
    <w:rsid w:val="009475EC"/>
    <w:rsid w:val="00950C0E"/>
    <w:rsid w:val="009518FE"/>
    <w:rsid w:val="009522F9"/>
    <w:rsid w:val="00954132"/>
    <w:rsid w:val="00954640"/>
    <w:rsid w:val="00954869"/>
    <w:rsid w:val="00956B35"/>
    <w:rsid w:val="00956F49"/>
    <w:rsid w:val="00957B24"/>
    <w:rsid w:val="00957DE2"/>
    <w:rsid w:val="00962B20"/>
    <w:rsid w:val="00964D1C"/>
    <w:rsid w:val="00967181"/>
    <w:rsid w:val="00967ACC"/>
    <w:rsid w:val="00971153"/>
    <w:rsid w:val="00971715"/>
    <w:rsid w:val="009719A4"/>
    <w:rsid w:val="00972B07"/>
    <w:rsid w:val="00972E89"/>
    <w:rsid w:val="00974C28"/>
    <w:rsid w:val="00976E18"/>
    <w:rsid w:val="00981371"/>
    <w:rsid w:val="00981456"/>
    <w:rsid w:val="00985DD8"/>
    <w:rsid w:val="0098727A"/>
    <w:rsid w:val="009A0901"/>
    <w:rsid w:val="009A1E53"/>
    <w:rsid w:val="009A2AF8"/>
    <w:rsid w:val="009A3F1A"/>
    <w:rsid w:val="009A55D5"/>
    <w:rsid w:val="009B12AF"/>
    <w:rsid w:val="009B2278"/>
    <w:rsid w:val="009B3FE4"/>
    <w:rsid w:val="009B706A"/>
    <w:rsid w:val="009C2A5B"/>
    <w:rsid w:val="009C2E01"/>
    <w:rsid w:val="009C44FD"/>
    <w:rsid w:val="009C5B31"/>
    <w:rsid w:val="009C63E6"/>
    <w:rsid w:val="009C644B"/>
    <w:rsid w:val="009D0665"/>
    <w:rsid w:val="009D09F2"/>
    <w:rsid w:val="009D47E7"/>
    <w:rsid w:val="009D7D39"/>
    <w:rsid w:val="009E0AAC"/>
    <w:rsid w:val="009E20E1"/>
    <w:rsid w:val="009E2A02"/>
    <w:rsid w:val="009E38AD"/>
    <w:rsid w:val="009E3C25"/>
    <w:rsid w:val="009F20AC"/>
    <w:rsid w:val="009F2F85"/>
    <w:rsid w:val="009F4BCD"/>
    <w:rsid w:val="009F4EF0"/>
    <w:rsid w:val="009F77B7"/>
    <w:rsid w:val="00A0194C"/>
    <w:rsid w:val="00A02ED5"/>
    <w:rsid w:val="00A03553"/>
    <w:rsid w:val="00A0358F"/>
    <w:rsid w:val="00A03D2A"/>
    <w:rsid w:val="00A04451"/>
    <w:rsid w:val="00A07AB9"/>
    <w:rsid w:val="00A106BB"/>
    <w:rsid w:val="00A12EC0"/>
    <w:rsid w:val="00A166E9"/>
    <w:rsid w:val="00A176D0"/>
    <w:rsid w:val="00A2331E"/>
    <w:rsid w:val="00A275DA"/>
    <w:rsid w:val="00A308F9"/>
    <w:rsid w:val="00A33FD5"/>
    <w:rsid w:val="00A35072"/>
    <w:rsid w:val="00A36BE3"/>
    <w:rsid w:val="00A40409"/>
    <w:rsid w:val="00A4175A"/>
    <w:rsid w:val="00A42D8A"/>
    <w:rsid w:val="00A44B14"/>
    <w:rsid w:val="00A44F09"/>
    <w:rsid w:val="00A476AB"/>
    <w:rsid w:val="00A5009C"/>
    <w:rsid w:val="00A51445"/>
    <w:rsid w:val="00A51B12"/>
    <w:rsid w:val="00A53102"/>
    <w:rsid w:val="00A604F1"/>
    <w:rsid w:val="00A638FC"/>
    <w:rsid w:val="00A641DD"/>
    <w:rsid w:val="00A65018"/>
    <w:rsid w:val="00A70183"/>
    <w:rsid w:val="00A71D2A"/>
    <w:rsid w:val="00A729B5"/>
    <w:rsid w:val="00A76294"/>
    <w:rsid w:val="00A77EA1"/>
    <w:rsid w:val="00A800A1"/>
    <w:rsid w:val="00A8036E"/>
    <w:rsid w:val="00A806D3"/>
    <w:rsid w:val="00A823A9"/>
    <w:rsid w:val="00A82F30"/>
    <w:rsid w:val="00A83667"/>
    <w:rsid w:val="00A85490"/>
    <w:rsid w:val="00A862E2"/>
    <w:rsid w:val="00A86C91"/>
    <w:rsid w:val="00A87495"/>
    <w:rsid w:val="00A90521"/>
    <w:rsid w:val="00A90551"/>
    <w:rsid w:val="00A921A0"/>
    <w:rsid w:val="00A9285A"/>
    <w:rsid w:val="00A92D91"/>
    <w:rsid w:val="00A92DFA"/>
    <w:rsid w:val="00A93BD2"/>
    <w:rsid w:val="00A945DD"/>
    <w:rsid w:val="00A96405"/>
    <w:rsid w:val="00A96B73"/>
    <w:rsid w:val="00A9749D"/>
    <w:rsid w:val="00A97858"/>
    <w:rsid w:val="00AA0145"/>
    <w:rsid w:val="00AA294F"/>
    <w:rsid w:val="00AA2EB4"/>
    <w:rsid w:val="00AA3EBB"/>
    <w:rsid w:val="00AA49D9"/>
    <w:rsid w:val="00AA4AEE"/>
    <w:rsid w:val="00AA7C80"/>
    <w:rsid w:val="00AB2637"/>
    <w:rsid w:val="00AB33FB"/>
    <w:rsid w:val="00AB79D0"/>
    <w:rsid w:val="00AC0394"/>
    <w:rsid w:val="00AC1013"/>
    <w:rsid w:val="00AC2599"/>
    <w:rsid w:val="00AC3841"/>
    <w:rsid w:val="00AC3DA8"/>
    <w:rsid w:val="00AC46D2"/>
    <w:rsid w:val="00AC5191"/>
    <w:rsid w:val="00AC5345"/>
    <w:rsid w:val="00AC69D4"/>
    <w:rsid w:val="00AD32E0"/>
    <w:rsid w:val="00AD5035"/>
    <w:rsid w:val="00AD60BA"/>
    <w:rsid w:val="00AD650B"/>
    <w:rsid w:val="00AD7B6F"/>
    <w:rsid w:val="00AE086C"/>
    <w:rsid w:val="00AE1786"/>
    <w:rsid w:val="00AE1BB5"/>
    <w:rsid w:val="00AE2731"/>
    <w:rsid w:val="00AE5BAD"/>
    <w:rsid w:val="00AF49BA"/>
    <w:rsid w:val="00AF6538"/>
    <w:rsid w:val="00AF6909"/>
    <w:rsid w:val="00B009D1"/>
    <w:rsid w:val="00B066BE"/>
    <w:rsid w:val="00B141D6"/>
    <w:rsid w:val="00B23C2B"/>
    <w:rsid w:val="00B24675"/>
    <w:rsid w:val="00B27507"/>
    <w:rsid w:val="00B31396"/>
    <w:rsid w:val="00B31566"/>
    <w:rsid w:val="00B316D8"/>
    <w:rsid w:val="00B33EE4"/>
    <w:rsid w:val="00B345DF"/>
    <w:rsid w:val="00B34E78"/>
    <w:rsid w:val="00B36A75"/>
    <w:rsid w:val="00B36F1E"/>
    <w:rsid w:val="00B371EA"/>
    <w:rsid w:val="00B41365"/>
    <w:rsid w:val="00B45002"/>
    <w:rsid w:val="00B46D97"/>
    <w:rsid w:val="00B50773"/>
    <w:rsid w:val="00B5108D"/>
    <w:rsid w:val="00B513E4"/>
    <w:rsid w:val="00B52126"/>
    <w:rsid w:val="00B52431"/>
    <w:rsid w:val="00B534E0"/>
    <w:rsid w:val="00B550F7"/>
    <w:rsid w:val="00B55F47"/>
    <w:rsid w:val="00B56255"/>
    <w:rsid w:val="00B568CF"/>
    <w:rsid w:val="00B56B96"/>
    <w:rsid w:val="00B61D11"/>
    <w:rsid w:val="00B6293D"/>
    <w:rsid w:val="00B62DF6"/>
    <w:rsid w:val="00B634DE"/>
    <w:rsid w:val="00B63861"/>
    <w:rsid w:val="00B64A37"/>
    <w:rsid w:val="00B65B0A"/>
    <w:rsid w:val="00B70A73"/>
    <w:rsid w:val="00B70CFC"/>
    <w:rsid w:val="00B744EC"/>
    <w:rsid w:val="00B74AA8"/>
    <w:rsid w:val="00B7641B"/>
    <w:rsid w:val="00B76592"/>
    <w:rsid w:val="00B778BA"/>
    <w:rsid w:val="00B80FFC"/>
    <w:rsid w:val="00B81041"/>
    <w:rsid w:val="00B81912"/>
    <w:rsid w:val="00B819D9"/>
    <w:rsid w:val="00B82471"/>
    <w:rsid w:val="00B871BD"/>
    <w:rsid w:val="00B9097F"/>
    <w:rsid w:val="00B911C2"/>
    <w:rsid w:val="00B92322"/>
    <w:rsid w:val="00B96FCE"/>
    <w:rsid w:val="00BA1484"/>
    <w:rsid w:val="00BA3189"/>
    <w:rsid w:val="00BA331D"/>
    <w:rsid w:val="00BA53A6"/>
    <w:rsid w:val="00BA7CF8"/>
    <w:rsid w:val="00BB03CA"/>
    <w:rsid w:val="00BB1D3A"/>
    <w:rsid w:val="00BB39F3"/>
    <w:rsid w:val="00BB77A8"/>
    <w:rsid w:val="00BC2B04"/>
    <w:rsid w:val="00BC6112"/>
    <w:rsid w:val="00BC6D9D"/>
    <w:rsid w:val="00BD1784"/>
    <w:rsid w:val="00BD2C2F"/>
    <w:rsid w:val="00BD2F64"/>
    <w:rsid w:val="00BD3105"/>
    <w:rsid w:val="00BD387F"/>
    <w:rsid w:val="00BD4845"/>
    <w:rsid w:val="00BD58BE"/>
    <w:rsid w:val="00BD65B2"/>
    <w:rsid w:val="00BD690C"/>
    <w:rsid w:val="00BD6A6E"/>
    <w:rsid w:val="00BD6B07"/>
    <w:rsid w:val="00BD7BB1"/>
    <w:rsid w:val="00BE1278"/>
    <w:rsid w:val="00BE2160"/>
    <w:rsid w:val="00BE2DF3"/>
    <w:rsid w:val="00BE2E2D"/>
    <w:rsid w:val="00BE3049"/>
    <w:rsid w:val="00BE3BD1"/>
    <w:rsid w:val="00BE512B"/>
    <w:rsid w:val="00BE6349"/>
    <w:rsid w:val="00BE73BA"/>
    <w:rsid w:val="00BE7F5A"/>
    <w:rsid w:val="00BF0C7E"/>
    <w:rsid w:val="00BF1C42"/>
    <w:rsid w:val="00BF2ED6"/>
    <w:rsid w:val="00BF3F09"/>
    <w:rsid w:val="00BF6562"/>
    <w:rsid w:val="00C0308B"/>
    <w:rsid w:val="00C0365A"/>
    <w:rsid w:val="00C03B52"/>
    <w:rsid w:val="00C03F83"/>
    <w:rsid w:val="00C06018"/>
    <w:rsid w:val="00C101B4"/>
    <w:rsid w:val="00C14FB7"/>
    <w:rsid w:val="00C17F3E"/>
    <w:rsid w:val="00C20BAD"/>
    <w:rsid w:val="00C21144"/>
    <w:rsid w:val="00C24227"/>
    <w:rsid w:val="00C24A5E"/>
    <w:rsid w:val="00C25A76"/>
    <w:rsid w:val="00C33FBD"/>
    <w:rsid w:val="00C344DE"/>
    <w:rsid w:val="00C34BCA"/>
    <w:rsid w:val="00C34D5A"/>
    <w:rsid w:val="00C34F45"/>
    <w:rsid w:val="00C363E7"/>
    <w:rsid w:val="00C408D8"/>
    <w:rsid w:val="00C40D45"/>
    <w:rsid w:val="00C41B72"/>
    <w:rsid w:val="00C42731"/>
    <w:rsid w:val="00C43CB4"/>
    <w:rsid w:val="00C4411F"/>
    <w:rsid w:val="00C44318"/>
    <w:rsid w:val="00C45A85"/>
    <w:rsid w:val="00C46A62"/>
    <w:rsid w:val="00C476C6"/>
    <w:rsid w:val="00C47F4F"/>
    <w:rsid w:val="00C53D4C"/>
    <w:rsid w:val="00C54AC8"/>
    <w:rsid w:val="00C54BAB"/>
    <w:rsid w:val="00C5557A"/>
    <w:rsid w:val="00C5651D"/>
    <w:rsid w:val="00C60A6D"/>
    <w:rsid w:val="00C61174"/>
    <w:rsid w:val="00C611EB"/>
    <w:rsid w:val="00C6190F"/>
    <w:rsid w:val="00C6224E"/>
    <w:rsid w:val="00C6228F"/>
    <w:rsid w:val="00C66FA9"/>
    <w:rsid w:val="00C7118F"/>
    <w:rsid w:val="00C72D65"/>
    <w:rsid w:val="00C76978"/>
    <w:rsid w:val="00C773EA"/>
    <w:rsid w:val="00C8275F"/>
    <w:rsid w:val="00C845C1"/>
    <w:rsid w:val="00C84D5C"/>
    <w:rsid w:val="00C90917"/>
    <w:rsid w:val="00C922DA"/>
    <w:rsid w:val="00C929FB"/>
    <w:rsid w:val="00C94BFB"/>
    <w:rsid w:val="00CA2B76"/>
    <w:rsid w:val="00CA2F31"/>
    <w:rsid w:val="00CA372D"/>
    <w:rsid w:val="00CA4949"/>
    <w:rsid w:val="00CB168F"/>
    <w:rsid w:val="00CB1694"/>
    <w:rsid w:val="00CB2069"/>
    <w:rsid w:val="00CB3821"/>
    <w:rsid w:val="00CB5507"/>
    <w:rsid w:val="00CB573F"/>
    <w:rsid w:val="00CB6149"/>
    <w:rsid w:val="00CC08EC"/>
    <w:rsid w:val="00CC16DD"/>
    <w:rsid w:val="00CC1E7E"/>
    <w:rsid w:val="00CC209D"/>
    <w:rsid w:val="00CC4137"/>
    <w:rsid w:val="00CC53EB"/>
    <w:rsid w:val="00CD29F5"/>
    <w:rsid w:val="00CD2B79"/>
    <w:rsid w:val="00CD40A4"/>
    <w:rsid w:val="00CD51AD"/>
    <w:rsid w:val="00CD5FE6"/>
    <w:rsid w:val="00CE112A"/>
    <w:rsid w:val="00CE27EC"/>
    <w:rsid w:val="00CE2DFA"/>
    <w:rsid w:val="00CE4EBA"/>
    <w:rsid w:val="00CF34CA"/>
    <w:rsid w:val="00CF53A9"/>
    <w:rsid w:val="00CF540A"/>
    <w:rsid w:val="00CF623F"/>
    <w:rsid w:val="00CF7230"/>
    <w:rsid w:val="00CF7884"/>
    <w:rsid w:val="00D014C4"/>
    <w:rsid w:val="00D04222"/>
    <w:rsid w:val="00D108B6"/>
    <w:rsid w:val="00D10F56"/>
    <w:rsid w:val="00D115C1"/>
    <w:rsid w:val="00D11811"/>
    <w:rsid w:val="00D12F87"/>
    <w:rsid w:val="00D16B14"/>
    <w:rsid w:val="00D171AE"/>
    <w:rsid w:val="00D22698"/>
    <w:rsid w:val="00D238CE"/>
    <w:rsid w:val="00D23EFF"/>
    <w:rsid w:val="00D26159"/>
    <w:rsid w:val="00D276FD"/>
    <w:rsid w:val="00D30485"/>
    <w:rsid w:val="00D31201"/>
    <w:rsid w:val="00D32531"/>
    <w:rsid w:val="00D35E76"/>
    <w:rsid w:val="00D41895"/>
    <w:rsid w:val="00D426F3"/>
    <w:rsid w:val="00D44A7C"/>
    <w:rsid w:val="00D44CBB"/>
    <w:rsid w:val="00D44FFC"/>
    <w:rsid w:val="00D464A1"/>
    <w:rsid w:val="00D47A0F"/>
    <w:rsid w:val="00D510B3"/>
    <w:rsid w:val="00D5156A"/>
    <w:rsid w:val="00D51C88"/>
    <w:rsid w:val="00D55633"/>
    <w:rsid w:val="00D57250"/>
    <w:rsid w:val="00D57463"/>
    <w:rsid w:val="00D57686"/>
    <w:rsid w:val="00D61365"/>
    <w:rsid w:val="00D62C2E"/>
    <w:rsid w:val="00D64D70"/>
    <w:rsid w:val="00D65815"/>
    <w:rsid w:val="00D73BE1"/>
    <w:rsid w:val="00D74315"/>
    <w:rsid w:val="00D74DCB"/>
    <w:rsid w:val="00D74F67"/>
    <w:rsid w:val="00D761CD"/>
    <w:rsid w:val="00D77851"/>
    <w:rsid w:val="00D77F61"/>
    <w:rsid w:val="00D81028"/>
    <w:rsid w:val="00D823D3"/>
    <w:rsid w:val="00D827AD"/>
    <w:rsid w:val="00D83056"/>
    <w:rsid w:val="00D838F6"/>
    <w:rsid w:val="00D8526F"/>
    <w:rsid w:val="00D8573D"/>
    <w:rsid w:val="00D918C0"/>
    <w:rsid w:val="00D94098"/>
    <w:rsid w:val="00D94FAF"/>
    <w:rsid w:val="00D967F6"/>
    <w:rsid w:val="00D96EB3"/>
    <w:rsid w:val="00D97E8E"/>
    <w:rsid w:val="00DA4D9C"/>
    <w:rsid w:val="00DA5941"/>
    <w:rsid w:val="00DA76F3"/>
    <w:rsid w:val="00DB2AB1"/>
    <w:rsid w:val="00DB31F1"/>
    <w:rsid w:val="00DB3E0F"/>
    <w:rsid w:val="00DB4661"/>
    <w:rsid w:val="00DB69B5"/>
    <w:rsid w:val="00DC1609"/>
    <w:rsid w:val="00DC1F2B"/>
    <w:rsid w:val="00DC2486"/>
    <w:rsid w:val="00DC7A04"/>
    <w:rsid w:val="00DD14DD"/>
    <w:rsid w:val="00DD1EAB"/>
    <w:rsid w:val="00DD3EA5"/>
    <w:rsid w:val="00DD4521"/>
    <w:rsid w:val="00DD459C"/>
    <w:rsid w:val="00DD49A4"/>
    <w:rsid w:val="00DD5884"/>
    <w:rsid w:val="00DD68C3"/>
    <w:rsid w:val="00DE0BB6"/>
    <w:rsid w:val="00DE1E87"/>
    <w:rsid w:val="00DE2D7D"/>
    <w:rsid w:val="00DE5F31"/>
    <w:rsid w:val="00DE6198"/>
    <w:rsid w:val="00DE76CA"/>
    <w:rsid w:val="00DF26AD"/>
    <w:rsid w:val="00DF2FAA"/>
    <w:rsid w:val="00DF3854"/>
    <w:rsid w:val="00DF4B88"/>
    <w:rsid w:val="00DF526E"/>
    <w:rsid w:val="00DF60D5"/>
    <w:rsid w:val="00DF66C6"/>
    <w:rsid w:val="00DF6800"/>
    <w:rsid w:val="00DF6EDB"/>
    <w:rsid w:val="00DF7457"/>
    <w:rsid w:val="00E0047C"/>
    <w:rsid w:val="00E0371C"/>
    <w:rsid w:val="00E03DB0"/>
    <w:rsid w:val="00E03F01"/>
    <w:rsid w:val="00E05082"/>
    <w:rsid w:val="00E0726D"/>
    <w:rsid w:val="00E105DD"/>
    <w:rsid w:val="00E10F59"/>
    <w:rsid w:val="00E135EF"/>
    <w:rsid w:val="00E13DFF"/>
    <w:rsid w:val="00E14CB7"/>
    <w:rsid w:val="00E22937"/>
    <w:rsid w:val="00E258E1"/>
    <w:rsid w:val="00E300D1"/>
    <w:rsid w:val="00E33A37"/>
    <w:rsid w:val="00E3406C"/>
    <w:rsid w:val="00E34E41"/>
    <w:rsid w:val="00E373DE"/>
    <w:rsid w:val="00E40173"/>
    <w:rsid w:val="00E41E30"/>
    <w:rsid w:val="00E44645"/>
    <w:rsid w:val="00E45432"/>
    <w:rsid w:val="00E45784"/>
    <w:rsid w:val="00E4616D"/>
    <w:rsid w:val="00E4640C"/>
    <w:rsid w:val="00E51197"/>
    <w:rsid w:val="00E5171F"/>
    <w:rsid w:val="00E53710"/>
    <w:rsid w:val="00E55A7B"/>
    <w:rsid w:val="00E56EB5"/>
    <w:rsid w:val="00E5746A"/>
    <w:rsid w:val="00E57D9E"/>
    <w:rsid w:val="00E60701"/>
    <w:rsid w:val="00E612EC"/>
    <w:rsid w:val="00E62D51"/>
    <w:rsid w:val="00E64E14"/>
    <w:rsid w:val="00E64F69"/>
    <w:rsid w:val="00E65AA1"/>
    <w:rsid w:val="00E703A5"/>
    <w:rsid w:val="00E71380"/>
    <w:rsid w:val="00E727C3"/>
    <w:rsid w:val="00E72DDD"/>
    <w:rsid w:val="00E72F42"/>
    <w:rsid w:val="00E74B16"/>
    <w:rsid w:val="00E7512A"/>
    <w:rsid w:val="00E80095"/>
    <w:rsid w:val="00E846D1"/>
    <w:rsid w:val="00E86DF7"/>
    <w:rsid w:val="00E910C2"/>
    <w:rsid w:val="00E92081"/>
    <w:rsid w:val="00E9457C"/>
    <w:rsid w:val="00E955ED"/>
    <w:rsid w:val="00E9612B"/>
    <w:rsid w:val="00E96AEB"/>
    <w:rsid w:val="00EA082C"/>
    <w:rsid w:val="00EA0AF6"/>
    <w:rsid w:val="00EA2319"/>
    <w:rsid w:val="00EA24D0"/>
    <w:rsid w:val="00EA4B3A"/>
    <w:rsid w:val="00EA4D01"/>
    <w:rsid w:val="00EA578E"/>
    <w:rsid w:val="00EA6574"/>
    <w:rsid w:val="00EA7B4B"/>
    <w:rsid w:val="00EB062A"/>
    <w:rsid w:val="00EB1602"/>
    <w:rsid w:val="00EB26B9"/>
    <w:rsid w:val="00EB34F3"/>
    <w:rsid w:val="00EC072E"/>
    <w:rsid w:val="00EC1469"/>
    <w:rsid w:val="00EC1A90"/>
    <w:rsid w:val="00EC2065"/>
    <w:rsid w:val="00EC325C"/>
    <w:rsid w:val="00EC3923"/>
    <w:rsid w:val="00EC57CC"/>
    <w:rsid w:val="00EC6693"/>
    <w:rsid w:val="00EC731A"/>
    <w:rsid w:val="00EC7637"/>
    <w:rsid w:val="00ED1378"/>
    <w:rsid w:val="00ED2691"/>
    <w:rsid w:val="00ED34FE"/>
    <w:rsid w:val="00ED622B"/>
    <w:rsid w:val="00EE29C2"/>
    <w:rsid w:val="00EE3318"/>
    <w:rsid w:val="00EE332A"/>
    <w:rsid w:val="00EE381C"/>
    <w:rsid w:val="00EE4173"/>
    <w:rsid w:val="00EE5B07"/>
    <w:rsid w:val="00EE60F9"/>
    <w:rsid w:val="00EE6F07"/>
    <w:rsid w:val="00EF1B47"/>
    <w:rsid w:val="00F02A88"/>
    <w:rsid w:val="00F03BD5"/>
    <w:rsid w:val="00F05522"/>
    <w:rsid w:val="00F05F16"/>
    <w:rsid w:val="00F10501"/>
    <w:rsid w:val="00F113D5"/>
    <w:rsid w:val="00F11B5A"/>
    <w:rsid w:val="00F11DE1"/>
    <w:rsid w:val="00F14694"/>
    <w:rsid w:val="00F2205E"/>
    <w:rsid w:val="00F22158"/>
    <w:rsid w:val="00F22FB1"/>
    <w:rsid w:val="00F258B1"/>
    <w:rsid w:val="00F25C16"/>
    <w:rsid w:val="00F31065"/>
    <w:rsid w:val="00F328A4"/>
    <w:rsid w:val="00F32E55"/>
    <w:rsid w:val="00F33519"/>
    <w:rsid w:val="00F33582"/>
    <w:rsid w:val="00F356AF"/>
    <w:rsid w:val="00F358B5"/>
    <w:rsid w:val="00F36B9B"/>
    <w:rsid w:val="00F36BB1"/>
    <w:rsid w:val="00F372EE"/>
    <w:rsid w:val="00F37AF4"/>
    <w:rsid w:val="00F42702"/>
    <w:rsid w:val="00F43913"/>
    <w:rsid w:val="00F47D41"/>
    <w:rsid w:val="00F5163D"/>
    <w:rsid w:val="00F51AB9"/>
    <w:rsid w:val="00F51DFE"/>
    <w:rsid w:val="00F52C2B"/>
    <w:rsid w:val="00F53023"/>
    <w:rsid w:val="00F5361F"/>
    <w:rsid w:val="00F6100A"/>
    <w:rsid w:val="00F61505"/>
    <w:rsid w:val="00F616FD"/>
    <w:rsid w:val="00F61AB2"/>
    <w:rsid w:val="00F61FC1"/>
    <w:rsid w:val="00F6270B"/>
    <w:rsid w:val="00F62FC1"/>
    <w:rsid w:val="00F650CD"/>
    <w:rsid w:val="00F650E9"/>
    <w:rsid w:val="00F654DF"/>
    <w:rsid w:val="00F66196"/>
    <w:rsid w:val="00F66A65"/>
    <w:rsid w:val="00F66BB4"/>
    <w:rsid w:val="00F6738D"/>
    <w:rsid w:val="00F70EE9"/>
    <w:rsid w:val="00F71B1E"/>
    <w:rsid w:val="00F71B5E"/>
    <w:rsid w:val="00F7484F"/>
    <w:rsid w:val="00F74E89"/>
    <w:rsid w:val="00F758B8"/>
    <w:rsid w:val="00F76208"/>
    <w:rsid w:val="00F90111"/>
    <w:rsid w:val="00F93670"/>
    <w:rsid w:val="00F93E40"/>
    <w:rsid w:val="00F9737B"/>
    <w:rsid w:val="00FA4D05"/>
    <w:rsid w:val="00FA4DFA"/>
    <w:rsid w:val="00FA541B"/>
    <w:rsid w:val="00FA6C5E"/>
    <w:rsid w:val="00FB0E8C"/>
    <w:rsid w:val="00FB1F0C"/>
    <w:rsid w:val="00FB6453"/>
    <w:rsid w:val="00FC29E8"/>
    <w:rsid w:val="00FC4AAE"/>
    <w:rsid w:val="00FC6703"/>
    <w:rsid w:val="00FD02EE"/>
    <w:rsid w:val="00FD2700"/>
    <w:rsid w:val="00FD285C"/>
    <w:rsid w:val="00FD2966"/>
    <w:rsid w:val="00FD3148"/>
    <w:rsid w:val="00FD47F1"/>
    <w:rsid w:val="00FD7CBA"/>
    <w:rsid w:val="00FE6AC4"/>
    <w:rsid w:val="00FE7B72"/>
    <w:rsid w:val="00FF1543"/>
    <w:rsid w:val="00FF7FC5"/>
    <w:rsid w:val="01F34306"/>
    <w:rsid w:val="028D04AA"/>
    <w:rsid w:val="03845B2A"/>
    <w:rsid w:val="03F474B3"/>
    <w:rsid w:val="04050B1B"/>
    <w:rsid w:val="041B7416"/>
    <w:rsid w:val="059B4EBB"/>
    <w:rsid w:val="05DA38B7"/>
    <w:rsid w:val="05DD0D62"/>
    <w:rsid w:val="08250783"/>
    <w:rsid w:val="086B6EA8"/>
    <w:rsid w:val="09A83813"/>
    <w:rsid w:val="0A0275A0"/>
    <w:rsid w:val="0A7739CD"/>
    <w:rsid w:val="0A8E29CF"/>
    <w:rsid w:val="0AC00DD4"/>
    <w:rsid w:val="0B800DD0"/>
    <w:rsid w:val="0BDD29FE"/>
    <w:rsid w:val="0C0A7274"/>
    <w:rsid w:val="0CC54815"/>
    <w:rsid w:val="0DF25D96"/>
    <w:rsid w:val="0E4A3C86"/>
    <w:rsid w:val="0EDF1719"/>
    <w:rsid w:val="0F185CEB"/>
    <w:rsid w:val="0F68182E"/>
    <w:rsid w:val="0F78129A"/>
    <w:rsid w:val="11BF0C88"/>
    <w:rsid w:val="13514E0F"/>
    <w:rsid w:val="13BF263B"/>
    <w:rsid w:val="13C702B9"/>
    <w:rsid w:val="14607FC4"/>
    <w:rsid w:val="158920A8"/>
    <w:rsid w:val="16576744"/>
    <w:rsid w:val="16F37DBC"/>
    <w:rsid w:val="17587774"/>
    <w:rsid w:val="19170BEE"/>
    <w:rsid w:val="1A1576CE"/>
    <w:rsid w:val="1A78055F"/>
    <w:rsid w:val="1AB85276"/>
    <w:rsid w:val="1B305BEB"/>
    <w:rsid w:val="1B937163"/>
    <w:rsid w:val="1BA41D8F"/>
    <w:rsid w:val="1BC40B9C"/>
    <w:rsid w:val="1C0301DF"/>
    <w:rsid w:val="1D9A42AE"/>
    <w:rsid w:val="1DB0521B"/>
    <w:rsid w:val="1F093607"/>
    <w:rsid w:val="1F6D88E3"/>
    <w:rsid w:val="204B0B2F"/>
    <w:rsid w:val="207E3013"/>
    <w:rsid w:val="209E5493"/>
    <w:rsid w:val="2135356A"/>
    <w:rsid w:val="214830D7"/>
    <w:rsid w:val="21D539D6"/>
    <w:rsid w:val="222747AD"/>
    <w:rsid w:val="22BF00B2"/>
    <w:rsid w:val="22F5461F"/>
    <w:rsid w:val="234D03FD"/>
    <w:rsid w:val="23A4622A"/>
    <w:rsid w:val="25E3383D"/>
    <w:rsid w:val="26BB237F"/>
    <w:rsid w:val="27021F30"/>
    <w:rsid w:val="273909AB"/>
    <w:rsid w:val="27DA5468"/>
    <w:rsid w:val="28DD6473"/>
    <w:rsid w:val="2980612F"/>
    <w:rsid w:val="2BD94F31"/>
    <w:rsid w:val="2CAA2D17"/>
    <w:rsid w:val="2D027270"/>
    <w:rsid w:val="2D327A7A"/>
    <w:rsid w:val="2E044C6F"/>
    <w:rsid w:val="2E2465DC"/>
    <w:rsid w:val="2E261EB7"/>
    <w:rsid w:val="2F4F1DFA"/>
    <w:rsid w:val="2F8D520B"/>
    <w:rsid w:val="2FA63E8A"/>
    <w:rsid w:val="2FF700E5"/>
    <w:rsid w:val="30564EDE"/>
    <w:rsid w:val="30A203FB"/>
    <w:rsid w:val="31901F40"/>
    <w:rsid w:val="31D9422E"/>
    <w:rsid w:val="32510056"/>
    <w:rsid w:val="32843005"/>
    <w:rsid w:val="339D0A1E"/>
    <w:rsid w:val="343E0F9B"/>
    <w:rsid w:val="346B3D6E"/>
    <w:rsid w:val="34F959C1"/>
    <w:rsid w:val="3517745A"/>
    <w:rsid w:val="36331BF8"/>
    <w:rsid w:val="37C43E7C"/>
    <w:rsid w:val="38CB3C23"/>
    <w:rsid w:val="3CAE2559"/>
    <w:rsid w:val="3CBF25BD"/>
    <w:rsid w:val="3D511693"/>
    <w:rsid w:val="3E7E0D9F"/>
    <w:rsid w:val="3F544D7B"/>
    <w:rsid w:val="40605267"/>
    <w:rsid w:val="409C3675"/>
    <w:rsid w:val="40D25E57"/>
    <w:rsid w:val="40D846F9"/>
    <w:rsid w:val="419E6B4B"/>
    <w:rsid w:val="41A876F2"/>
    <w:rsid w:val="435D03E7"/>
    <w:rsid w:val="45AF4C30"/>
    <w:rsid w:val="45E216A1"/>
    <w:rsid w:val="49325C6A"/>
    <w:rsid w:val="49475D23"/>
    <w:rsid w:val="499E70C3"/>
    <w:rsid w:val="4A411AAB"/>
    <w:rsid w:val="4AEF055D"/>
    <w:rsid w:val="4B2A46DE"/>
    <w:rsid w:val="4B4B4E2E"/>
    <w:rsid w:val="4C855859"/>
    <w:rsid w:val="4EB55977"/>
    <w:rsid w:val="4ECE1567"/>
    <w:rsid w:val="4F284727"/>
    <w:rsid w:val="4FFFE9A0"/>
    <w:rsid w:val="51EB4ED7"/>
    <w:rsid w:val="52464F14"/>
    <w:rsid w:val="52A77F6F"/>
    <w:rsid w:val="53F21240"/>
    <w:rsid w:val="53FE53CD"/>
    <w:rsid w:val="54FB6648"/>
    <w:rsid w:val="55CB1ABE"/>
    <w:rsid w:val="55FD204D"/>
    <w:rsid w:val="56413F18"/>
    <w:rsid w:val="569D791C"/>
    <w:rsid w:val="576F5F38"/>
    <w:rsid w:val="57BFE355"/>
    <w:rsid w:val="589575AE"/>
    <w:rsid w:val="59B44024"/>
    <w:rsid w:val="59F9A68D"/>
    <w:rsid w:val="5A321B25"/>
    <w:rsid w:val="5AC81286"/>
    <w:rsid w:val="5AEA0AC5"/>
    <w:rsid w:val="5C0C5FF7"/>
    <w:rsid w:val="5D9466EB"/>
    <w:rsid w:val="5DB40FD2"/>
    <w:rsid w:val="5DD42FD4"/>
    <w:rsid w:val="5E3207A8"/>
    <w:rsid w:val="5E3530C8"/>
    <w:rsid w:val="5E4135E5"/>
    <w:rsid w:val="5E5809F8"/>
    <w:rsid w:val="5F124243"/>
    <w:rsid w:val="5FB54A36"/>
    <w:rsid w:val="6009588A"/>
    <w:rsid w:val="61AA5B91"/>
    <w:rsid w:val="62B87D3D"/>
    <w:rsid w:val="633E2C0F"/>
    <w:rsid w:val="635249CB"/>
    <w:rsid w:val="63B9715A"/>
    <w:rsid w:val="63D73C46"/>
    <w:rsid w:val="63DC09F9"/>
    <w:rsid w:val="64536C58"/>
    <w:rsid w:val="65300C3E"/>
    <w:rsid w:val="660A75E7"/>
    <w:rsid w:val="66157A28"/>
    <w:rsid w:val="68294E4D"/>
    <w:rsid w:val="683C7437"/>
    <w:rsid w:val="69641520"/>
    <w:rsid w:val="6A7940A6"/>
    <w:rsid w:val="6C07572E"/>
    <w:rsid w:val="6C967CA7"/>
    <w:rsid w:val="6E3B2CC0"/>
    <w:rsid w:val="6E8966FA"/>
    <w:rsid w:val="702351A1"/>
    <w:rsid w:val="70BF20B5"/>
    <w:rsid w:val="713D2E74"/>
    <w:rsid w:val="71936759"/>
    <w:rsid w:val="720A3562"/>
    <w:rsid w:val="7244701A"/>
    <w:rsid w:val="72850387"/>
    <w:rsid w:val="74324244"/>
    <w:rsid w:val="748B398E"/>
    <w:rsid w:val="74FE63AA"/>
    <w:rsid w:val="753B3A7A"/>
    <w:rsid w:val="756E770A"/>
    <w:rsid w:val="75AE7F60"/>
    <w:rsid w:val="75FE0A60"/>
    <w:rsid w:val="76ED5390"/>
    <w:rsid w:val="77773F91"/>
    <w:rsid w:val="77AD4153"/>
    <w:rsid w:val="77DD0B25"/>
    <w:rsid w:val="77ED4191"/>
    <w:rsid w:val="7826400E"/>
    <w:rsid w:val="799053C8"/>
    <w:rsid w:val="7ADBFFD0"/>
    <w:rsid w:val="7BFFE895"/>
    <w:rsid w:val="7C4740A1"/>
    <w:rsid w:val="7C6B53FC"/>
    <w:rsid w:val="7D7BE6BE"/>
    <w:rsid w:val="7DFB9703"/>
    <w:rsid w:val="7DFD33A1"/>
    <w:rsid w:val="7F190B34"/>
    <w:rsid w:val="7F4B0D81"/>
    <w:rsid w:val="7F5B0CFF"/>
    <w:rsid w:val="7FB736FC"/>
    <w:rsid w:val="7FD60198"/>
    <w:rsid w:val="9C9DBF17"/>
    <w:rsid w:val="9D55E9B7"/>
    <w:rsid w:val="9FFF1808"/>
    <w:rsid w:val="AFE93542"/>
    <w:rsid w:val="AFF7DFD9"/>
    <w:rsid w:val="BDBEB51F"/>
    <w:rsid w:val="DF7D1479"/>
    <w:rsid w:val="E5FBD69C"/>
    <w:rsid w:val="EBFD51D9"/>
    <w:rsid w:val="EC3E064D"/>
    <w:rsid w:val="EDEB35B8"/>
    <w:rsid w:val="EFEEBE74"/>
    <w:rsid w:val="F6D3C2D6"/>
    <w:rsid w:val="F7DD5810"/>
    <w:rsid w:val="F7DFA11C"/>
    <w:rsid w:val="FAEBE12D"/>
    <w:rsid w:val="FBB47AA6"/>
    <w:rsid w:val="FC7D2E83"/>
    <w:rsid w:val="FE771468"/>
    <w:rsid w:val="FEE10815"/>
    <w:rsid w:val="FFE37C2D"/>
    <w:rsid w:val="FFFB31FE"/>
    <w:rsid w:val="FFFBEF67"/>
    <w:rsid w:val="FFFF73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Times New Roman"/>
      <w:kern w:val="2"/>
      <w:sz w:val="32"/>
      <w:lang w:val="en-US" w:eastAsia="zh-CN" w:bidi="ar-SA"/>
    </w:rPr>
  </w:style>
  <w:style w:type="paragraph" w:styleId="4">
    <w:name w:val="heading 1"/>
    <w:basedOn w:val="1"/>
    <w:next w:val="1"/>
    <w:qFormat/>
    <w:uiPriority w:val="0"/>
    <w:pPr>
      <w:keepNext/>
      <w:spacing w:line="280" w:lineRule="exact"/>
      <w:jc w:val="center"/>
      <w:outlineLvl w:val="0"/>
    </w:pPr>
    <w:rPr>
      <w:rFonts w:ascii="宋体" w:hAnsi="宋体"/>
      <w:b/>
      <w:bCs/>
      <w:spacing w:val="-8"/>
      <w:sz w:val="18"/>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720" w:lineRule="exact"/>
      <w:jc w:val="center"/>
    </w:pPr>
    <w:rPr>
      <w:rFonts w:eastAsia="方正小标宋简体"/>
      <w:sz w:val="48"/>
      <w:szCs w:val="24"/>
    </w:rPr>
  </w:style>
  <w:style w:type="paragraph" w:styleId="3">
    <w:name w:val="toc 5"/>
    <w:basedOn w:val="1"/>
    <w:next w:val="1"/>
    <w:qFormat/>
    <w:uiPriority w:val="39"/>
    <w:pPr>
      <w:ind w:firstLine="632"/>
      <w:jc w:val="left"/>
    </w:pPr>
    <w:rPr>
      <w:rFonts w:cs="宋体"/>
      <w:color w:val="FF0000"/>
    </w:rPr>
  </w:style>
  <w:style w:type="paragraph" w:styleId="5">
    <w:name w:val="Normal Indent"/>
    <w:unhideWhenUsed/>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index 5"/>
    <w:basedOn w:val="1"/>
    <w:next w:val="1"/>
    <w:qFormat/>
    <w:uiPriority w:val="0"/>
    <w:pPr>
      <w:widowControl w:val="0"/>
      <w:adjustRightInd/>
      <w:snapToGrid/>
      <w:spacing w:after="0"/>
      <w:ind w:left="1680"/>
      <w:jc w:val="both"/>
    </w:pPr>
    <w:rPr>
      <w:rFonts w:ascii="Calibri" w:hAnsi="Calibri" w:eastAsia="宋体" w:cs="Times New Roman"/>
      <w:kern w:val="2"/>
      <w:sz w:val="21"/>
      <w:szCs w:val="24"/>
    </w:rPr>
  </w:style>
  <w:style w:type="paragraph" w:styleId="7">
    <w:name w:val="Body Text Indent"/>
    <w:basedOn w:val="1"/>
    <w:qFormat/>
    <w:uiPriority w:val="0"/>
    <w:pPr>
      <w:spacing w:after="120"/>
      <w:ind w:left="420" w:leftChars="200"/>
    </w:pPr>
  </w:style>
  <w:style w:type="paragraph" w:styleId="8">
    <w:name w:val="Plain Text"/>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next w:val="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Body Text 2"/>
    <w:basedOn w:val="1"/>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Emphasis"/>
    <w:basedOn w:val="19"/>
    <w:qFormat/>
    <w:uiPriority w:val="0"/>
    <w:rPr>
      <w:i/>
    </w:rPr>
  </w:style>
  <w:style w:type="character" w:styleId="23">
    <w:name w:val="Hyperlink"/>
    <w:basedOn w:val="19"/>
    <w:qFormat/>
    <w:uiPriority w:val="0"/>
    <w:rPr>
      <w:color w:val="0000FF"/>
      <w:u w:val="single"/>
    </w:rPr>
  </w:style>
  <w:style w:type="character" w:customStyle="1" w:styleId="24">
    <w:name w:val="style251"/>
    <w:basedOn w:val="19"/>
    <w:qFormat/>
    <w:uiPriority w:val="0"/>
    <w:rPr>
      <w:sz w:val="19"/>
      <w:szCs w:val="19"/>
    </w:rPr>
  </w:style>
  <w:style w:type="character" w:customStyle="1" w:styleId="25">
    <w:name w:val="line5"/>
    <w:basedOn w:val="19"/>
    <w:qFormat/>
    <w:uiPriority w:val="0"/>
  </w:style>
  <w:style w:type="character" w:customStyle="1" w:styleId="26">
    <w:name w:val="p51"/>
    <w:basedOn w:val="19"/>
    <w:qFormat/>
    <w:uiPriority w:val="0"/>
    <w:rPr>
      <w:rFonts w:hint="default" w:ascii="_x000B__x000C_" w:hAnsi="_x000B__x000C_"/>
      <w:b/>
      <w:bCs/>
      <w:sz w:val="27"/>
      <w:szCs w:val="27"/>
    </w:rPr>
  </w:style>
  <w:style w:type="paragraph" w:customStyle="1" w:styleId="27">
    <w:name w:val="_Style 5"/>
    <w:basedOn w:val="1"/>
    <w:qFormat/>
    <w:uiPriority w:val="0"/>
    <w:pPr>
      <w:widowControl/>
      <w:spacing w:after="160" w:line="240" w:lineRule="exact"/>
      <w:jc w:val="left"/>
    </w:pPr>
    <w:rPr>
      <w:rFonts w:eastAsia="宋体"/>
      <w:sz w:val="21"/>
      <w:szCs w:val="24"/>
    </w:rPr>
  </w:style>
  <w:style w:type="paragraph" w:customStyle="1" w:styleId="28">
    <w:name w:val="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9">
    <w:name w:val=" Char Char Char Char Char Char Char Char Char Char Char Char Char Char Char Char"/>
    <w:basedOn w:val="1"/>
    <w:qFormat/>
    <w:uiPriority w:val="0"/>
    <w:rPr>
      <w:rFonts w:eastAsia="宋体"/>
      <w:sz w:val="21"/>
      <w:szCs w:val="24"/>
    </w:rPr>
  </w:style>
  <w:style w:type="paragraph" w:customStyle="1" w:styleId="30">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1">
    <w:name w:val="p0"/>
    <w:basedOn w:val="1"/>
    <w:qFormat/>
    <w:uiPriority w:val="0"/>
    <w:rPr>
      <w:rFonts w:eastAsia="宋体"/>
      <w:kern w:val="0"/>
      <w:sz w:val="21"/>
      <w:szCs w:val="21"/>
    </w:rPr>
  </w:style>
  <w:style w:type="paragraph" w:styleId="3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公文标题"/>
    <w:basedOn w:val="1"/>
    <w:qFormat/>
    <w:uiPriority w:val="0"/>
    <w:pPr>
      <w:autoSpaceDE w:val="0"/>
      <w:jc w:val="center"/>
    </w:pPr>
    <w:rPr>
      <w:rFonts w:eastAsia="宋体"/>
      <w:sz w:val="44"/>
      <w:szCs w:val="24"/>
    </w:rPr>
  </w:style>
  <w:style w:type="paragraph" w:customStyle="1" w:styleId="34">
    <w:name w:val="字元14"/>
    <w:basedOn w:val="1"/>
    <w:semiHidden/>
    <w:qFormat/>
    <w:uiPriority w:val="0"/>
    <w:rPr>
      <w:rFonts w:eastAsia="宋体"/>
      <w:sz w:val="21"/>
      <w:szCs w:val="24"/>
    </w:rPr>
  </w:style>
  <w:style w:type="paragraph" w:customStyle="1" w:styleId="35">
    <w:name w:val="公文小标题"/>
    <w:basedOn w:val="1"/>
    <w:qFormat/>
    <w:uiPriority w:val="0"/>
    <w:pPr>
      <w:spacing w:line="580" w:lineRule="exact"/>
      <w:ind w:firstLine="640" w:firstLineChars="200"/>
    </w:pPr>
    <w:rPr>
      <w:rFonts w:ascii="黑体" w:eastAsia="黑体"/>
      <w:szCs w:val="32"/>
    </w:rPr>
  </w:style>
  <w:style w:type="paragraph" w:customStyle="1" w:styleId="36">
    <w:name w:val=" Char"/>
    <w:basedOn w:val="1"/>
    <w:qFormat/>
    <w:uiPriority w:val="0"/>
    <w:pPr>
      <w:widowControl/>
      <w:spacing w:after="160" w:line="240" w:lineRule="exact"/>
      <w:jc w:val="left"/>
    </w:pPr>
    <w:rPr>
      <w:rFonts w:eastAsia="宋体"/>
      <w:sz w:val="21"/>
    </w:rPr>
  </w:style>
  <w:style w:type="character" w:customStyle="1" w:styleId="37">
    <w:name w:val="font01"/>
    <w:basedOn w:val="19"/>
    <w:qFormat/>
    <w:uiPriority w:val="0"/>
    <w:rPr>
      <w:rFonts w:hint="eastAsia" w:ascii="黑体" w:hAnsi="宋体" w:eastAsia="黑体" w:cs="黑体"/>
      <w:color w:val="000000"/>
      <w:sz w:val="24"/>
      <w:szCs w:val="24"/>
      <w:u w:val="none"/>
    </w:rPr>
  </w:style>
  <w:style w:type="character" w:customStyle="1" w:styleId="38">
    <w:name w:val="font31"/>
    <w:basedOn w:val="1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省政府</Company>
  <Pages>13</Pages>
  <Words>3773</Words>
  <Characters>4134</Characters>
  <Lines>26</Lines>
  <Paragraphs>7</Paragraphs>
  <TotalTime>9</TotalTime>
  <ScaleCrop>false</ScaleCrop>
  <LinksUpToDate>false</LinksUpToDate>
  <CharactersWithSpaces>4169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2017-08-23T09:25:00Z</dcterms:created>
  <dc:creator>文印室</dc:creator>
  <cp:lastModifiedBy>greatwall</cp:lastModifiedBy>
  <cp:lastPrinted>2025-08-22T11:08:00Z</cp:lastPrinted>
  <dcterms:modified xsi:type="dcterms:W3CDTF">2025-09-13T11:11:00Z</dcterms:modified>
  <dc:title>湘劳社〔2001〕267号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2FDA11F94A1B0336F554A366014EE331</vt:lpwstr>
  </property>
</Properties>
</file>