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206"/>
        </w:tabs>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default" w:ascii="Times New Roman" w:hAnsi="Times New Roman" w:eastAsia="仿宋_GB2312" w:cs="Times New Roman"/>
          <w:color w:val="auto"/>
          <w:w w:val="100"/>
          <w:sz w:val="32"/>
          <w:szCs w:val="32"/>
          <w:lang w:val="en-US" w:eastAsia="zh-CN"/>
        </w:rPr>
      </w:pPr>
      <w:r>
        <w:rPr>
          <w:rFonts w:hint="default" w:ascii="Times New Roman" w:hAnsi="Times New Roman" w:cs="Times New Roman"/>
          <w:spacing w:val="0"/>
          <w:sz w:val="32"/>
          <w:szCs w:val="32"/>
        </w:rPr>
        <w:t>HNPR-2022-11035</w:t>
      </w:r>
    </w:p>
    <w:p>
      <w:pPr>
        <w:pStyle w:val="12"/>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left"/>
        <w:textAlignment w:val="auto"/>
        <w:outlineLvl w:val="9"/>
        <w:rPr>
          <w:rFonts w:hint="default" w:ascii="Times New Roman" w:hAnsi="Times New Roman" w:eastAsia="仿宋_GB2312" w:cs="Times New Roman"/>
          <w:color w:val="auto"/>
          <w:w w:val="100"/>
          <w:sz w:val="32"/>
          <w:szCs w:val="32"/>
          <w:lang w:val="en-US" w:eastAsia="zh-CN"/>
        </w:rPr>
      </w:pPr>
    </w:p>
    <w:p>
      <w:pPr>
        <w:keepNext w:val="0"/>
        <w:keepLines w:val="0"/>
        <w:pageBreakBefore w:val="0"/>
        <w:widowControl w:val="0"/>
        <w:kinsoku/>
        <w:overflowPunct/>
        <w:topLinePunct w:val="0"/>
        <w:autoSpaceDE/>
        <w:autoSpaceDN/>
        <w:bidi w:val="0"/>
        <w:adjustRightInd/>
        <w:snapToGrid/>
        <w:spacing w:line="1000" w:lineRule="exact"/>
        <w:ind w:left="0" w:leftChars="0" w:firstLine="0" w:firstLineChars="0"/>
        <w:textAlignment w:val="auto"/>
        <w:rPr>
          <w:rFonts w:hint="default" w:ascii="Times New Roman" w:hAnsi="Times New Roman" w:eastAsia="方正小标宋简体" w:cs="Times New Roman"/>
          <w:color w:val="FFFFFF" w:themeColor="background1"/>
          <w:spacing w:val="-46"/>
          <w:sz w:val="68"/>
          <w:szCs w:val="90"/>
          <w14:textFill>
            <w14:solidFill>
              <w14:schemeClr w14:val="bg1"/>
            </w14:solidFill>
          </w14:textFill>
        </w:rPr>
      </w:pPr>
      <w:r>
        <w:rPr>
          <w:rFonts w:hint="default" w:ascii="Times New Roman" w:hAnsi="Times New Roman" w:eastAsia="方正小标宋简体" w:cs="Times New Roman"/>
          <w:color w:val="FFFFFF" w:themeColor="background1"/>
          <w:spacing w:val="-46"/>
          <w:kern w:val="0"/>
          <w:sz w:val="68"/>
          <w:szCs w:val="90"/>
          <w14:textFill>
            <w14:solidFill>
              <w14:schemeClr w14:val="bg1"/>
            </w14:solidFill>
          </w14:textFill>
        </w:rPr>
        <mc:AlternateContent>
          <mc:Choice Requires="wps">
            <w:drawing>
              <wp:anchor distT="0" distB="0" distL="114300" distR="114300" simplePos="0" relativeHeight="251659264" behindDoc="0" locked="0" layoutInCell="1" allowOverlap="1">
                <wp:simplePos x="0" y="0"/>
                <wp:positionH relativeFrom="column">
                  <wp:posOffset>4795520</wp:posOffset>
                </wp:positionH>
                <wp:positionV relativeFrom="paragraph">
                  <wp:posOffset>299720</wp:posOffset>
                </wp:positionV>
                <wp:extent cx="1129030" cy="708660"/>
                <wp:effectExtent l="4445" t="5080" r="9525" b="10160"/>
                <wp:wrapNone/>
                <wp:docPr id="1" name="文本框 1"/>
                <wp:cNvGraphicFramePr/>
                <a:graphic xmlns:a="http://schemas.openxmlformats.org/drawingml/2006/main">
                  <a:graphicData uri="http://schemas.microsoft.com/office/word/2010/wordprocessingShape">
                    <wps:wsp>
                      <wps:cNvSpPr txBox="1"/>
                      <wps:spPr>
                        <a:xfrm>
                          <a:off x="0" y="0"/>
                          <a:ext cx="1129030" cy="70866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spacing w:line="1000" w:lineRule="exact"/>
                              <w:rPr>
                                <w:rFonts w:hint="eastAsia" w:ascii="方正小标宋简体" w:eastAsia="方正小标宋简体"/>
                                <w:color w:val="FFFFFF" w:themeColor="background1"/>
                                <w:spacing w:val="-40"/>
                                <w:kern w:val="66"/>
                                <w:position w:val="6"/>
                                <w:sz w:val="72"/>
                                <w:szCs w:val="72"/>
                                <w14:textFill>
                                  <w14:solidFill>
                                    <w14:schemeClr w14:val="bg1"/>
                                  </w14:solidFill>
                                </w14:textFill>
                              </w:rPr>
                            </w:pPr>
                            <w:r>
                              <w:rPr>
                                <w:rFonts w:hint="eastAsia" w:ascii="方正小标宋简体" w:eastAsia="方正小标宋简体"/>
                                <w:color w:val="FFFFFF" w:themeColor="background1"/>
                                <w:spacing w:val="-40"/>
                                <w:kern w:val="66"/>
                                <w:position w:val="6"/>
                                <w:sz w:val="72"/>
                                <w:szCs w:val="72"/>
                                <w14:textFill>
                                  <w14:solidFill>
                                    <w14:schemeClr w14:val="bg1"/>
                                  </w14:solidFill>
                                </w14:textFill>
                              </w:rPr>
                              <w:t>文件</w:t>
                            </w:r>
                          </w:p>
                        </w:txbxContent>
                      </wps:txbx>
                      <wps:bodyPr vert="horz" anchor="t" anchorCtr="0" upright="1"/>
                    </wps:wsp>
                  </a:graphicData>
                </a:graphic>
              </wp:anchor>
            </w:drawing>
          </mc:Choice>
          <mc:Fallback>
            <w:pict>
              <v:shape id="_x0000_s1026" o:spid="_x0000_s1026" o:spt="202" type="#_x0000_t202" style="position:absolute;left:0pt;margin-left:377.6pt;margin-top:23.6pt;height:55.8pt;width:88.9pt;z-index:251659264;mso-width-relative:page;mso-height-relative:page;" fillcolor="#FFFFFF" filled="t" stroked="t" coordsize="21600,21600" o:gfxdata="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Xj+cfZAAAACgEAAA8AAAAAAAAAAQAgAAAAIgAA&#10;AGRycy9kb3ducmV2LnhtbFBLAQIUABQAAAAIAIdO4kBK0N8pBwIAABsEAAAOAAAAAAAAAAEAIAAA&#10;ACgBAABkcnMvZTJvRG9jLnhtbFBLBQYAAAAABgAGAFkBAAChBQAAAAA=&#10;">
                <v:fill on="t" focussize="0,0"/>
                <v:stroke color="#FFFFFF" joinstyle="miter"/>
                <v:imagedata o:title=""/>
                <o:lock v:ext="edit" aspectratio="f"/>
                <v:textbox>
                  <w:txbxContent>
                    <w:p>
                      <w:pPr>
                        <w:spacing w:line="1000" w:lineRule="exact"/>
                        <w:rPr>
                          <w:rFonts w:hint="eastAsia" w:ascii="方正小标宋简体" w:eastAsia="方正小标宋简体"/>
                          <w:color w:val="FFFFFF" w:themeColor="background1"/>
                          <w:spacing w:val="-40"/>
                          <w:kern w:val="66"/>
                          <w:position w:val="6"/>
                          <w:sz w:val="72"/>
                          <w:szCs w:val="72"/>
                          <w14:textFill>
                            <w14:solidFill>
                              <w14:schemeClr w14:val="bg1"/>
                            </w14:solidFill>
                          </w14:textFill>
                        </w:rPr>
                      </w:pPr>
                      <w:r>
                        <w:rPr>
                          <w:rFonts w:hint="eastAsia" w:ascii="方正小标宋简体" w:eastAsia="方正小标宋简体"/>
                          <w:color w:val="FFFFFF" w:themeColor="background1"/>
                          <w:spacing w:val="-40"/>
                          <w:kern w:val="66"/>
                          <w:position w:val="6"/>
                          <w:sz w:val="72"/>
                          <w:szCs w:val="72"/>
                          <w14:textFill>
                            <w14:solidFill>
                              <w14:schemeClr w14:val="bg1"/>
                            </w14:solidFill>
                          </w14:textFill>
                        </w:rPr>
                        <w:t>文件</w:t>
                      </w:r>
                    </w:p>
                  </w:txbxContent>
                </v:textbox>
              </v:shape>
            </w:pict>
          </mc:Fallback>
        </mc:AlternateContent>
      </w:r>
      <w:r>
        <w:rPr>
          <w:rFonts w:hint="default" w:ascii="Times New Roman" w:hAnsi="Times New Roman" w:eastAsia="方正小标宋简体" w:cs="Times New Roman"/>
          <w:color w:val="FFFFFF" w:themeColor="background1"/>
          <w:spacing w:val="1"/>
          <w:w w:val="85"/>
          <w:kern w:val="0"/>
          <w:sz w:val="68"/>
          <w:szCs w:val="90"/>
          <w:fitText w:val="7565" w:id="0"/>
          <w14:textFill>
            <w14:solidFill>
              <w14:schemeClr w14:val="bg1"/>
            </w14:solidFill>
          </w14:textFill>
        </w:rPr>
        <w:t>湖南省人力资源和社会保障</w:t>
      </w:r>
      <w:r>
        <w:rPr>
          <w:rFonts w:hint="default" w:ascii="Times New Roman" w:hAnsi="Times New Roman" w:eastAsia="方正小标宋简体" w:cs="Times New Roman"/>
          <w:color w:val="FFFFFF" w:themeColor="background1"/>
          <w:spacing w:val="41"/>
          <w:w w:val="85"/>
          <w:kern w:val="0"/>
          <w:sz w:val="68"/>
          <w:szCs w:val="90"/>
          <w:fitText w:val="7565" w:id="0"/>
          <w14:textFill>
            <w14:solidFill>
              <w14:schemeClr w14:val="bg1"/>
            </w14:solidFill>
          </w14:textFill>
        </w:rPr>
        <w:t>厅</w:t>
      </w:r>
    </w:p>
    <w:p>
      <w:pPr>
        <w:keepNext w:val="0"/>
        <w:keepLines w:val="0"/>
        <w:pageBreakBefore w:val="0"/>
        <w:widowControl w:val="0"/>
        <w:kinsoku/>
        <w:overflowPunct/>
        <w:topLinePunct w:val="0"/>
        <w:autoSpaceDE/>
        <w:autoSpaceDN/>
        <w:bidi w:val="0"/>
        <w:adjustRightInd/>
        <w:snapToGrid/>
        <w:spacing w:line="1000" w:lineRule="exact"/>
        <w:ind w:left="0" w:leftChars="0" w:firstLine="0" w:firstLineChars="0"/>
        <w:textAlignment w:val="auto"/>
        <w:rPr>
          <w:rFonts w:hint="default" w:ascii="Times New Roman" w:hAnsi="Times New Roman" w:eastAsia="方正小标宋简体" w:cs="Times New Roman"/>
          <w:color w:val="FFFFFF" w:themeColor="background1"/>
          <w:spacing w:val="23"/>
          <w:kern w:val="0"/>
          <w:sz w:val="90"/>
          <w:szCs w:val="90"/>
          <w14:textFill>
            <w14:solidFill>
              <w14:schemeClr w14:val="bg1"/>
            </w14:solidFill>
          </w14:textFill>
        </w:rPr>
      </w:pPr>
      <w:r>
        <w:rPr>
          <w:rFonts w:hint="default" w:ascii="Times New Roman" w:hAnsi="Times New Roman" w:eastAsia="方正小标宋简体" w:cs="Times New Roman"/>
          <w:color w:val="FFFFFF" w:themeColor="background1"/>
          <w:spacing w:val="56"/>
          <w:kern w:val="0"/>
          <w:sz w:val="68"/>
          <w:szCs w:val="90"/>
          <w:fitText w:val="7480" w:id="1"/>
          <w14:textFill>
            <w14:solidFill>
              <w14:schemeClr w14:val="bg1"/>
            </w14:solidFill>
          </w14:textFill>
        </w:rPr>
        <w:t>湖</w:t>
      </w:r>
      <w:r>
        <w:rPr>
          <w:rFonts w:hint="eastAsia" w:ascii="Times New Roman" w:hAnsi="Times New Roman" w:eastAsia="方正小标宋简体" w:cs="Times New Roman"/>
          <w:color w:val="FFFFFF" w:themeColor="background1"/>
          <w:spacing w:val="56"/>
          <w:kern w:val="0"/>
          <w:sz w:val="68"/>
          <w:szCs w:val="90"/>
          <w:fitText w:val="7480" w:id="1"/>
          <w:lang w:val="en-US" w:eastAsia="zh-CN"/>
          <w14:textFill>
            <w14:solidFill>
              <w14:schemeClr w14:val="bg1"/>
            </w14:solidFill>
          </w14:textFill>
        </w:rPr>
        <w:t xml:space="preserve">  </w:t>
      </w:r>
      <w:r>
        <w:rPr>
          <w:rFonts w:hint="default" w:ascii="Times New Roman" w:hAnsi="Times New Roman" w:eastAsia="方正小标宋简体" w:cs="Times New Roman"/>
          <w:color w:val="FFFFFF" w:themeColor="background1"/>
          <w:spacing w:val="56"/>
          <w:kern w:val="0"/>
          <w:sz w:val="68"/>
          <w:szCs w:val="90"/>
          <w:fitText w:val="7480" w:id="1"/>
          <w14:textFill>
            <w14:solidFill>
              <w14:schemeClr w14:val="bg1"/>
            </w14:solidFill>
          </w14:textFill>
        </w:rPr>
        <w:t>南</w:t>
      </w:r>
      <w:r>
        <w:rPr>
          <w:rFonts w:hint="eastAsia" w:ascii="Times New Roman" w:hAnsi="Times New Roman" w:eastAsia="方正小标宋简体" w:cs="Times New Roman"/>
          <w:color w:val="FFFFFF" w:themeColor="background1"/>
          <w:spacing w:val="56"/>
          <w:kern w:val="0"/>
          <w:sz w:val="68"/>
          <w:szCs w:val="90"/>
          <w:fitText w:val="7480" w:id="1"/>
          <w:lang w:val="en-US" w:eastAsia="zh-CN"/>
          <w14:textFill>
            <w14:solidFill>
              <w14:schemeClr w14:val="bg1"/>
            </w14:solidFill>
          </w14:textFill>
        </w:rPr>
        <w:t xml:space="preserve">  </w:t>
      </w:r>
      <w:r>
        <w:rPr>
          <w:rFonts w:hint="default" w:ascii="Times New Roman" w:hAnsi="Times New Roman" w:eastAsia="方正小标宋简体" w:cs="Times New Roman"/>
          <w:color w:val="FFFFFF" w:themeColor="background1"/>
          <w:spacing w:val="56"/>
          <w:kern w:val="0"/>
          <w:sz w:val="68"/>
          <w:szCs w:val="90"/>
          <w:fitText w:val="7480" w:id="1"/>
          <w:lang w:eastAsia="zh-CN"/>
          <w14:textFill>
            <w14:solidFill>
              <w14:schemeClr w14:val="bg1"/>
            </w14:solidFill>
          </w14:textFill>
        </w:rPr>
        <w:t>财</w:t>
      </w:r>
      <w:r>
        <w:rPr>
          <w:rFonts w:hint="eastAsia" w:ascii="Times New Roman" w:hAnsi="Times New Roman" w:eastAsia="方正小标宋简体" w:cs="Times New Roman"/>
          <w:color w:val="FFFFFF" w:themeColor="background1"/>
          <w:spacing w:val="56"/>
          <w:kern w:val="0"/>
          <w:sz w:val="68"/>
          <w:szCs w:val="90"/>
          <w:fitText w:val="7480" w:id="1"/>
          <w:lang w:val="en-US" w:eastAsia="zh-CN"/>
          <w14:textFill>
            <w14:solidFill>
              <w14:schemeClr w14:val="bg1"/>
            </w14:solidFill>
          </w14:textFill>
        </w:rPr>
        <w:t xml:space="preserve">  </w:t>
      </w:r>
      <w:r>
        <w:rPr>
          <w:rFonts w:hint="default" w:ascii="Times New Roman" w:hAnsi="Times New Roman" w:eastAsia="方正小标宋简体" w:cs="Times New Roman"/>
          <w:color w:val="FFFFFF" w:themeColor="background1"/>
          <w:spacing w:val="56"/>
          <w:kern w:val="0"/>
          <w:sz w:val="68"/>
          <w:szCs w:val="90"/>
          <w:fitText w:val="7480" w:id="1"/>
          <w:lang w:eastAsia="zh-CN"/>
          <w14:textFill>
            <w14:solidFill>
              <w14:schemeClr w14:val="bg1"/>
            </w14:solidFill>
          </w14:textFill>
        </w:rPr>
        <w:t>政</w:t>
      </w:r>
      <w:r>
        <w:rPr>
          <w:rFonts w:hint="eastAsia" w:ascii="Times New Roman" w:hAnsi="Times New Roman" w:eastAsia="方正小标宋简体" w:cs="Times New Roman"/>
          <w:color w:val="FFFFFF" w:themeColor="background1"/>
          <w:spacing w:val="56"/>
          <w:kern w:val="0"/>
          <w:sz w:val="68"/>
          <w:szCs w:val="90"/>
          <w:fitText w:val="7480" w:id="1"/>
          <w:lang w:val="en-US" w:eastAsia="zh-CN"/>
          <w14:textFill>
            <w14:solidFill>
              <w14:schemeClr w14:val="bg1"/>
            </w14:solidFill>
          </w14:textFill>
        </w:rPr>
        <w:t xml:space="preserve">  </w:t>
      </w:r>
      <w:r>
        <w:rPr>
          <w:rFonts w:hint="default" w:ascii="Times New Roman" w:hAnsi="Times New Roman" w:eastAsia="方正小标宋简体" w:cs="Times New Roman"/>
          <w:color w:val="FFFFFF" w:themeColor="background1"/>
          <w:spacing w:val="8"/>
          <w:kern w:val="0"/>
          <w:sz w:val="68"/>
          <w:szCs w:val="90"/>
          <w:fitText w:val="7480" w:id="1"/>
          <w:lang w:eastAsia="zh-CN"/>
          <w14:textFill>
            <w14:solidFill>
              <w14:schemeClr w14:val="bg1"/>
            </w14:solidFill>
          </w14:textFill>
        </w:rPr>
        <w:t>厅</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FFFFFF"/>
          <w:w w:val="80"/>
          <w:sz w:val="88"/>
          <w:szCs w:val="82"/>
        </w:rPr>
      </w:pPr>
    </w:p>
    <w:p>
      <w:pPr>
        <w:keepNext w:val="0"/>
        <w:keepLines w:val="0"/>
        <w:pageBreakBefore w:val="0"/>
        <w:widowControl w:val="0"/>
        <w:kinsoku/>
        <w:overflowPunct/>
        <w:topLinePunct w:val="0"/>
        <w:autoSpaceDE/>
        <w:autoSpaceDN/>
        <w:bidi w:val="0"/>
        <w:adjustRightInd/>
        <w:snapToGrid/>
        <w:spacing w:line="400" w:lineRule="exact"/>
        <w:ind w:right="-3" w:rightChars="-1"/>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湘人社</w:t>
      </w:r>
      <w:r>
        <w:rPr>
          <w:rFonts w:hint="default" w:ascii="Times New Roman" w:hAnsi="Times New Roman" w:eastAsia="仿宋_GB2312" w:cs="Times New Roman"/>
          <w:sz w:val="32"/>
          <w:szCs w:val="32"/>
          <w:lang w:eastAsia="zh-CN"/>
        </w:rPr>
        <w:t>规</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w:t>
      </w:r>
      <w:r>
        <w:rPr>
          <w:rFonts w:hint="eastAsia" w:ascii="Times New Roman" w:hAnsi="Times New Roman" w:cs="Times New Roman"/>
          <w:sz w:val="32"/>
          <w:szCs w:val="32"/>
          <w:lang w:val="en-US" w:eastAsia="zh-CN"/>
        </w:rPr>
        <w:t>36</w:t>
      </w:r>
      <w:r>
        <w:rPr>
          <w:rFonts w:hint="default" w:ascii="Times New Roman" w:hAnsi="Times New Roman" w:eastAsia="仿宋_GB2312" w:cs="Times New Roman"/>
          <w:sz w:val="32"/>
          <w:szCs w:val="32"/>
        </w:rPr>
        <w:t>号</w:t>
      </w:r>
    </w:p>
    <w:p>
      <w:pPr>
        <w:keepNext w:val="0"/>
        <w:keepLines w:val="0"/>
        <w:pageBreakBefore w:val="0"/>
        <w:widowControl w:val="0"/>
        <w:kinsoku/>
        <w:overflowPunct/>
        <w:topLinePunct w:val="0"/>
        <w:autoSpaceDE/>
        <w:autoSpaceDN/>
        <w:bidi w:val="0"/>
        <w:adjustRightInd/>
        <w:snapToGrid/>
        <w:spacing w:line="480" w:lineRule="exact"/>
        <w:ind w:firstLine="6160" w:firstLineChars="1400"/>
        <w:textAlignment w:val="auto"/>
        <w:rPr>
          <w:rFonts w:hint="default" w:ascii="Times New Roman" w:hAnsi="Times New Roman" w:cs="Times New Roman"/>
        </w:rPr>
      </w:pPr>
      <w:r>
        <w:rPr>
          <w:rFonts w:hint="default" w:ascii="Times New Roman" w:hAnsi="Times New Roman" w:eastAsia="方正小标宋简体" w:cs="Times New Roman"/>
          <w:sz w:val="44"/>
          <w:szCs w:val="44"/>
        </w:rPr>
        <mc:AlternateContent>
          <mc:Choice Requires="wps">
            <w:drawing>
              <wp:anchor distT="0" distB="0" distL="114300" distR="114300" simplePos="0" relativeHeight="251660288" behindDoc="0" locked="0" layoutInCell="1" allowOverlap="1">
                <wp:simplePos x="0" y="0"/>
                <wp:positionH relativeFrom="column">
                  <wp:posOffset>-115570</wp:posOffset>
                </wp:positionH>
                <wp:positionV relativeFrom="paragraph">
                  <wp:posOffset>191135</wp:posOffset>
                </wp:positionV>
                <wp:extent cx="6029960" cy="20955"/>
                <wp:effectExtent l="0" t="0" r="0" b="0"/>
                <wp:wrapNone/>
                <wp:docPr id="2" name="直接箭头连接符 4"/>
                <wp:cNvGraphicFramePr/>
                <a:graphic xmlns:a="http://schemas.openxmlformats.org/drawingml/2006/main">
                  <a:graphicData uri="http://schemas.microsoft.com/office/word/2010/wordprocessingShape">
                    <wps:wsp>
                      <wps:cNvCnPr/>
                      <wps:spPr>
                        <a:xfrm flipV="1">
                          <a:off x="0" y="0"/>
                          <a:ext cx="6029960" cy="20955"/>
                        </a:xfrm>
                        <a:prstGeom prst="straightConnector1">
                          <a:avLst/>
                        </a:prstGeom>
                        <a:ln w="19050" cap="flat" cmpd="sng">
                          <a:noFill/>
                          <a:prstDash val="solid"/>
                          <a:round/>
                          <a:headEnd type="none" w="med" len="med"/>
                          <a:tailEnd type="none" w="med" len="med"/>
                        </a:ln>
                        <a:effectLst/>
                      </wps:spPr>
                      <wps:bodyPr/>
                    </wps:wsp>
                  </a:graphicData>
                </a:graphic>
              </wp:anchor>
            </w:drawing>
          </mc:Choice>
          <mc:Fallback>
            <w:pict>
              <v:shape id="直接箭头连接符 4" o:spid="_x0000_s1026" o:spt="32" type="#_x0000_t32" style="position:absolute;left:0pt;flip:y;margin-left:-9.1pt;margin-top:15.05pt;height:1.65pt;width:474.8pt;z-index:251660288;mso-width-relative:page;mso-height-relative:page;" filled="f" stroked="f" coordsize="21600,21600" o:gfxdata="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SJKfi1wAA&#10;AAkBAAAPAAAAAAAAAAEAIAAAACIAAABkcnMvZG93bnJldi54bWxQSwECFAAUAAAACACHTuJAvAXl&#10;x+YBAACcAwAADgAAAAAAAAABACAAAAAmAQAAZHJzL2Uyb0RvYy54bWxQSwUGAAAAAAYABgBZAQAA&#10;fgUAAAAA&#10;">
                <v:fill on="f" focussize="0,0"/>
                <v:stroke on="f" weight="1.5pt" joinstyle="round"/>
                <v:imagedata o:title=""/>
                <o:lock v:ext="edit" aspectratio="f"/>
              </v:shape>
            </w:pict>
          </mc:Fallback>
        </mc:AlternateContent>
      </w:r>
      <w:r>
        <w:rPr>
          <w:rFonts w:hint="default" w:ascii="Times New Roman" w:hAnsi="Times New Roman" w:eastAsia="方正小标宋简体" w:cs="Times New Roman"/>
          <w:sz w:val="44"/>
          <w:szCs w:val="44"/>
        </w:rPr>
        <mc:AlternateContent>
          <mc:Choice Requires="wps">
            <w:drawing>
              <wp:anchor distT="0" distB="0" distL="114300" distR="114300" simplePos="0" relativeHeight="251658240" behindDoc="0" locked="0" layoutInCell="1" allowOverlap="1">
                <wp:simplePos x="0" y="0"/>
                <wp:positionH relativeFrom="column">
                  <wp:posOffset>-25400</wp:posOffset>
                </wp:positionH>
                <wp:positionV relativeFrom="paragraph">
                  <wp:posOffset>104140</wp:posOffset>
                </wp:positionV>
                <wp:extent cx="5760720" cy="381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760720" cy="3810"/>
                        </a:xfrm>
                        <a:prstGeom prst="line">
                          <a:avLst/>
                        </a:prstGeom>
                        <a:ln w="9525" cap="flat" cmpd="sng">
                          <a:solidFill>
                            <a:srgbClr val="FFFFF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pt;margin-top:8.2pt;height:0.3pt;width:453.6pt;z-index:251658240;mso-width-relative:page;mso-height-relative:page;" filled="f" stroked="t" coordsize="21600,21600" o:gfxdata="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M0ZBK2QAAAAgBAAAPAAAAAAAAAAEAIAAAACIAAABkcnMvZG93bnJldi54bWxQSwECFAAUAAAA&#10;CACHTuJAC/1Kuu0BAACxAwAADgAAAAAAAAABACAAAAAoAQAAZHJzL2Uyb0RvYy54bWxQSwUGAAAA&#10;AAYABgBZAQAAhwUAAAAA&#10;">
                <v:fill on="f" focussize="0,0"/>
                <v:stroke color="#FFFFFF" joinstyle="round"/>
                <v:imagedata o:title=""/>
                <o:lock v:ext="edit" aspectratio="f"/>
              </v:line>
            </w:pict>
          </mc:Fallback>
        </mc:AlternateContent>
      </w: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湖南省人力资源和社会保障厅 湖南省财政厅</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关于20</w:t>
      </w:r>
      <w:r>
        <w:rPr>
          <w:rFonts w:hint="eastAsia" w:ascii="Times New Roman" w:hAnsi="Times New Roman" w:eastAsia="方正小标宋_GBK" w:cs="Times New Roman"/>
          <w:sz w:val="44"/>
          <w:szCs w:val="44"/>
          <w:lang w:val="en-US" w:eastAsia="zh-CN"/>
        </w:rPr>
        <w:t>22</w:t>
      </w:r>
      <w:r>
        <w:rPr>
          <w:rFonts w:hint="default" w:ascii="Times New Roman" w:hAnsi="Times New Roman" w:eastAsia="方正小标宋_GBK" w:cs="Times New Roman"/>
          <w:sz w:val="44"/>
          <w:szCs w:val="44"/>
        </w:rPr>
        <w:t>年调整企业工伤人员伤残津贴和</w:t>
      </w:r>
      <w:bookmarkStart w:id="0" w:name="_GoBack"/>
      <w:bookmarkEnd w:id="0"/>
    </w:p>
    <w:p>
      <w:pPr>
        <w:keepNext w:val="0"/>
        <w:keepLines w:val="0"/>
        <w:pageBreakBefore w:val="0"/>
        <w:widowControl w:val="0"/>
        <w:kinsoku/>
        <w:wordWrap/>
        <w:overflowPunct/>
        <w:topLinePunct w:val="0"/>
        <w:autoSpaceDE/>
        <w:autoSpaceDN/>
        <w:bidi w:val="0"/>
        <w:adjustRightInd/>
        <w:snapToGrid/>
        <w:spacing w:line="700" w:lineRule="exact"/>
        <w:ind w:firstLine="880" w:firstLineChars="200"/>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因工死亡职工供养亲属抚恤金的通知</w:t>
      </w:r>
    </w:p>
    <w:p>
      <w:pPr>
        <w:keepNext w:val="0"/>
        <w:keepLines w:val="0"/>
        <w:pageBreakBefore w:val="0"/>
        <w:widowControl w:val="0"/>
        <w:tabs>
          <w:tab w:val="left" w:pos="2880"/>
        </w:tabs>
        <w:kinsoku/>
        <w:wordWrap/>
        <w:overflowPunct/>
        <w:topLinePunct w:val="0"/>
        <w:autoSpaceDE/>
        <w:autoSpaceDN/>
        <w:bidi w:val="0"/>
        <w:adjustRightInd/>
        <w:snapToGrid/>
        <w:spacing w:line="580" w:lineRule="exact"/>
        <w:textAlignment w:val="auto"/>
        <w:outlineLvl w:val="9"/>
        <w:rPr>
          <w:rFonts w:hint="default" w:ascii="Times New Roman" w:hAnsi="Times New Roman" w:cs="Times New Roman"/>
        </w:rPr>
      </w:pPr>
      <w:r>
        <w:rPr>
          <w:rFonts w:hint="default" w:ascii="Times New Roman" w:hAnsi="Times New Roman" w:cs="Times New Roman"/>
        </w:rPr>
        <w:tab/>
      </w:r>
    </w:p>
    <w:p>
      <w:pPr>
        <w:keepNext w:val="0"/>
        <w:keepLines w:val="0"/>
        <w:pageBreakBefore w:val="0"/>
        <w:widowControl w:val="0"/>
        <w:kinsoku/>
        <w:wordWrap/>
        <w:overflowPunct/>
        <w:topLinePunct w:val="0"/>
        <w:autoSpaceDE/>
        <w:autoSpaceDN/>
        <w:bidi w:val="0"/>
        <w:adjustRightInd/>
        <w:snapToGrid/>
        <w:spacing w:line="552" w:lineRule="exact"/>
        <w:textAlignment w:val="auto"/>
        <w:outlineLvl w:val="9"/>
        <w:rPr>
          <w:rFonts w:hint="default" w:ascii="Times New Roman" w:hAnsi="Times New Roman" w:cs="Times New Roman"/>
          <w:spacing w:val="0"/>
          <w:sz w:val="32"/>
          <w:szCs w:val="32"/>
        </w:rPr>
      </w:pPr>
      <w:r>
        <w:rPr>
          <w:rFonts w:hint="default" w:ascii="Times New Roman" w:hAnsi="Times New Roman" w:cs="Times New Roman"/>
          <w:spacing w:val="0"/>
          <w:sz w:val="32"/>
          <w:szCs w:val="32"/>
        </w:rPr>
        <w:t>各市州</w:t>
      </w:r>
      <w:r>
        <w:rPr>
          <w:rFonts w:hint="eastAsia" w:ascii="Times New Roman" w:hAnsi="Times New Roman" w:cs="Times New Roman"/>
          <w:spacing w:val="0"/>
          <w:sz w:val="32"/>
          <w:szCs w:val="32"/>
          <w:lang w:eastAsia="zh-CN"/>
        </w:rPr>
        <w:t>、</w:t>
      </w:r>
      <w:r>
        <w:rPr>
          <w:rFonts w:hint="eastAsia" w:ascii="Times New Roman" w:hAnsi="Times New Roman" w:cs="Times New Roman"/>
          <w:spacing w:val="0"/>
          <w:sz w:val="32"/>
          <w:szCs w:val="32"/>
          <w:lang w:val="en-US" w:eastAsia="zh-CN"/>
        </w:rPr>
        <w:t>县市区</w:t>
      </w:r>
      <w:r>
        <w:rPr>
          <w:rFonts w:hint="default" w:ascii="Times New Roman" w:hAnsi="Times New Roman" w:cs="Times New Roman"/>
          <w:spacing w:val="0"/>
          <w:sz w:val="32"/>
          <w:szCs w:val="32"/>
        </w:rPr>
        <w:t>人力资源和社会保障局、财政局，</w:t>
      </w:r>
      <w:r>
        <w:rPr>
          <w:rFonts w:hint="eastAsia" w:ascii="Times New Roman" w:hAnsi="Times New Roman" w:cs="Times New Roman"/>
          <w:spacing w:val="0"/>
          <w:sz w:val="32"/>
          <w:szCs w:val="32"/>
          <w:lang w:eastAsia="zh-CN"/>
        </w:rPr>
        <w:t>各</w:t>
      </w:r>
      <w:r>
        <w:rPr>
          <w:rFonts w:hint="default" w:ascii="Times New Roman" w:hAnsi="Times New Roman" w:cs="Times New Roman"/>
          <w:spacing w:val="0"/>
          <w:sz w:val="32"/>
          <w:szCs w:val="32"/>
        </w:rPr>
        <w:t>有关单位：</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outlineLvl w:val="9"/>
        <w:rPr>
          <w:rFonts w:hint="default" w:ascii="Times New Roman" w:hAnsi="Times New Roman" w:cs="Times New Roman"/>
          <w:spacing w:val="0"/>
          <w:sz w:val="32"/>
          <w:szCs w:val="32"/>
        </w:rPr>
      </w:pPr>
      <w:r>
        <w:rPr>
          <w:rFonts w:hint="default" w:ascii="Times New Roman" w:hAnsi="Times New Roman" w:cs="Times New Roman"/>
          <w:spacing w:val="0"/>
          <w:sz w:val="32"/>
          <w:szCs w:val="32"/>
        </w:rPr>
        <w:t>根据《湖南省实施&lt;工伤保险条例&gt;办法》（省政府267号令）和湖南省人力资源和社会保障厅、湖南省财政厅</w:t>
      </w:r>
      <w:r>
        <w:rPr>
          <w:rFonts w:hint="default" w:ascii="Times New Roman" w:hAnsi="Times New Roman" w:cs="Times New Roman"/>
          <w:color w:val="auto"/>
          <w:spacing w:val="0"/>
          <w:sz w:val="32"/>
          <w:szCs w:val="32"/>
        </w:rPr>
        <w:t>《</w:t>
      </w:r>
      <w:r>
        <w:rPr>
          <w:rFonts w:hint="eastAsia" w:ascii="Times New Roman" w:hAnsi="Times New Roman" w:cs="Times New Roman"/>
          <w:color w:val="auto"/>
          <w:spacing w:val="0"/>
          <w:sz w:val="32"/>
          <w:szCs w:val="32"/>
          <w:lang w:eastAsia="zh-CN"/>
        </w:rPr>
        <w:t>关于</w:t>
      </w:r>
      <w:r>
        <w:rPr>
          <w:rFonts w:hint="eastAsia" w:ascii="Times New Roman" w:hAnsi="Times New Roman" w:cs="Times New Roman"/>
          <w:color w:val="auto"/>
          <w:spacing w:val="0"/>
          <w:sz w:val="32"/>
          <w:szCs w:val="32"/>
          <w:lang w:val="en-US" w:eastAsia="zh-CN"/>
        </w:rPr>
        <w:t>2022年调整退休人员基本养老金的通知</w:t>
      </w:r>
      <w:r>
        <w:rPr>
          <w:rFonts w:hint="default" w:ascii="Times New Roman" w:hAnsi="Times New Roman" w:cs="Times New Roman"/>
          <w:color w:val="auto"/>
          <w:spacing w:val="0"/>
          <w:sz w:val="32"/>
          <w:szCs w:val="32"/>
        </w:rPr>
        <w:t>》（湘人社</w:t>
      </w:r>
      <w:r>
        <w:rPr>
          <w:rFonts w:hint="eastAsia" w:ascii="Times New Roman" w:hAnsi="Times New Roman" w:cs="Times New Roman"/>
          <w:color w:val="auto"/>
          <w:spacing w:val="0"/>
          <w:sz w:val="32"/>
          <w:szCs w:val="32"/>
          <w:lang w:eastAsia="zh-CN"/>
        </w:rPr>
        <w:t>规</w:t>
      </w:r>
      <w:r>
        <w:rPr>
          <w:rFonts w:hint="default" w:ascii="Times New Roman" w:hAnsi="Times New Roman" w:cs="Times New Roman"/>
          <w:color w:val="auto"/>
          <w:spacing w:val="0"/>
          <w:sz w:val="32"/>
          <w:szCs w:val="32"/>
        </w:rPr>
        <w:t>〔20</w:t>
      </w:r>
      <w:r>
        <w:rPr>
          <w:rFonts w:hint="eastAsia" w:ascii="Times New Roman" w:hAnsi="Times New Roman" w:cs="Times New Roman"/>
          <w:color w:val="auto"/>
          <w:spacing w:val="0"/>
          <w:sz w:val="32"/>
          <w:szCs w:val="32"/>
          <w:lang w:val="en-US" w:eastAsia="zh-CN"/>
        </w:rPr>
        <w:t>22</w:t>
      </w:r>
      <w:r>
        <w:rPr>
          <w:rFonts w:hint="default" w:ascii="Times New Roman" w:hAnsi="Times New Roman" w:cs="Times New Roman"/>
          <w:color w:val="auto"/>
          <w:spacing w:val="0"/>
          <w:sz w:val="32"/>
          <w:szCs w:val="32"/>
        </w:rPr>
        <w:t>〕</w:t>
      </w:r>
      <w:r>
        <w:rPr>
          <w:rFonts w:hint="eastAsia" w:ascii="Times New Roman" w:hAnsi="Times New Roman" w:cs="Times New Roman"/>
          <w:color w:val="auto"/>
          <w:spacing w:val="0"/>
          <w:sz w:val="32"/>
          <w:szCs w:val="32"/>
          <w:lang w:val="en-US" w:eastAsia="zh-CN"/>
        </w:rPr>
        <w:t>27</w:t>
      </w:r>
      <w:r>
        <w:rPr>
          <w:rFonts w:hint="default" w:ascii="Times New Roman" w:hAnsi="Times New Roman" w:cs="Times New Roman"/>
          <w:color w:val="auto"/>
          <w:spacing w:val="0"/>
          <w:sz w:val="32"/>
          <w:szCs w:val="32"/>
        </w:rPr>
        <w:t>号）</w:t>
      </w:r>
      <w:r>
        <w:rPr>
          <w:rFonts w:hint="default" w:ascii="Times New Roman" w:hAnsi="Times New Roman" w:cs="Times New Roman"/>
          <w:spacing w:val="0"/>
          <w:sz w:val="32"/>
          <w:szCs w:val="32"/>
        </w:rPr>
        <w:t>等有关文件精神，决定从20</w:t>
      </w:r>
      <w:r>
        <w:rPr>
          <w:rFonts w:hint="eastAsia" w:ascii="Times New Roman" w:hAnsi="Times New Roman" w:cs="Times New Roman"/>
          <w:spacing w:val="0"/>
          <w:sz w:val="32"/>
          <w:szCs w:val="32"/>
          <w:lang w:val="en-US" w:eastAsia="zh-CN"/>
        </w:rPr>
        <w:t>22</w:t>
      </w:r>
      <w:r>
        <w:rPr>
          <w:rFonts w:hint="default" w:ascii="Times New Roman" w:hAnsi="Times New Roman" w:cs="Times New Roman"/>
          <w:spacing w:val="0"/>
          <w:sz w:val="32"/>
          <w:szCs w:val="32"/>
        </w:rPr>
        <w:t>年1月1日起调整企业工伤人员伤残津贴和因工死亡职工供养亲属抚恤金。现就有关事项通知如下：</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一、工伤人员伤残津贴的调整</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outlineLvl w:val="9"/>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（一）调整时间和范围</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outlineLvl w:val="9"/>
        <w:rPr>
          <w:rFonts w:hint="default" w:ascii="Times New Roman" w:hAnsi="Times New Roman" w:cs="Times New Roman"/>
          <w:spacing w:val="0"/>
          <w:sz w:val="32"/>
          <w:szCs w:val="32"/>
        </w:rPr>
      </w:pPr>
      <w:r>
        <w:rPr>
          <w:rFonts w:hint="default" w:ascii="Times New Roman" w:hAnsi="Times New Roman" w:cs="Times New Roman"/>
          <w:spacing w:val="0"/>
          <w:sz w:val="32"/>
          <w:szCs w:val="32"/>
        </w:rPr>
        <w:t>从20</w:t>
      </w:r>
      <w:r>
        <w:rPr>
          <w:rFonts w:hint="eastAsia" w:ascii="Times New Roman" w:hAnsi="Times New Roman" w:cs="Times New Roman"/>
          <w:spacing w:val="0"/>
          <w:sz w:val="32"/>
          <w:szCs w:val="32"/>
          <w:lang w:val="en-US" w:eastAsia="zh-CN"/>
        </w:rPr>
        <w:t>22</w:t>
      </w:r>
      <w:r>
        <w:rPr>
          <w:rFonts w:hint="default" w:ascii="Times New Roman" w:hAnsi="Times New Roman" w:cs="Times New Roman"/>
          <w:spacing w:val="0"/>
          <w:sz w:val="32"/>
          <w:szCs w:val="32"/>
        </w:rPr>
        <w:t>年1月1日起，对《工伤保险条例》实施后（2004年1月1日后），20</w:t>
      </w:r>
      <w:r>
        <w:rPr>
          <w:rFonts w:hint="eastAsia" w:ascii="Times New Roman" w:hAnsi="Times New Roman" w:cs="Times New Roman"/>
          <w:spacing w:val="0"/>
          <w:sz w:val="32"/>
          <w:szCs w:val="32"/>
          <w:lang w:val="en-US" w:eastAsia="zh-CN"/>
        </w:rPr>
        <w:t>21</w:t>
      </w:r>
      <w:r>
        <w:rPr>
          <w:rFonts w:hint="default" w:ascii="Times New Roman" w:hAnsi="Times New Roman" w:cs="Times New Roman"/>
          <w:spacing w:val="0"/>
          <w:sz w:val="32"/>
          <w:szCs w:val="32"/>
        </w:rPr>
        <w:t>年12月31日前，</w:t>
      </w:r>
      <w:r>
        <w:rPr>
          <w:rFonts w:hint="eastAsia" w:ascii="Times New Roman" w:hAnsi="Times New Roman" w:cs="Times New Roman"/>
          <w:spacing w:val="0"/>
          <w:sz w:val="32"/>
          <w:szCs w:val="32"/>
          <w:lang w:eastAsia="zh-CN"/>
        </w:rPr>
        <w:t>已</w:t>
      </w:r>
      <w:r>
        <w:rPr>
          <w:rFonts w:hint="default" w:ascii="Times New Roman" w:hAnsi="Times New Roman" w:cs="Times New Roman"/>
          <w:spacing w:val="0"/>
          <w:sz w:val="32"/>
          <w:szCs w:val="32"/>
        </w:rPr>
        <w:t>按照《工伤保险条例》的规定，享受伤残津贴的在职工伤人员调整增加伤残津贴。</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outlineLvl w:val="9"/>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（二）调整标准</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outlineLvl w:val="9"/>
        <w:rPr>
          <w:rFonts w:hint="default" w:ascii="Times New Roman" w:hAnsi="Times New Roman" w:cs="Times New Roman"/>
          <w:spacing w:val="0"/>
          <w:sz w:val="32"/>
          <w:szCs w:val="32"/>
        </w:rPr>
      </w:pPr>
      <w:r>
        <w:rPr>
          <w:rFonts w:hint="default" w:ascii="Times New Roman" w:hAnsi="Times New Roman" w:cs="Times New Roman"/>
          <w:spacing w:val="0"/>
          <w:sz w:val="32"/>
          <w:szCs w:val="32"/>
        </w:rPr>
        <w:t>符合以上调整增加伤残津贴范围的工伤人员，其伤残津贴每人每月增加</w:t>
      </w:r>
      <w:r>
        <w:rPr>
          <w:rFonts w:hint="eastAsia" w:ascii="Times New Roman" w:hAnsi="Times New Roman" w:cs="Times New Roman"/>
          <w:spacing w:val="0"/>
          <w:sz w:val="32"/>
          <w:szCs w:val="32"/>
          <w:lang w:val="en-US" w:eastAsia="zh-CN"/>
        </w:rPr>
        <w:t>116</w:t>
      </w:r>
      <w:r>
        <w:rPr>
          <w:rFonts w:hint="default" w:ascii="Times New Roman" w:hAnsi="Times New Roman" w:cs="Times New Roman"/>
          <w:spacing w:val="0"/>
          <w:sz w:val="32"/>
          <w:szCs w:val="32"/>
        </w:rPr>
        <w:t>元。本次调整后，伤残津贴低于</w:t>
      </w:r>
      <w:r>
        <w:rPr>
          <w:rFonts w:hint="eastAsia" w:ascii="Times New Roman" w:hAnsi="Times New Roman" w:cs="Times New Roman"/>
          <w:spacing w:val="0"/>
          <w:sz w:val="32"/>
          <w:szCs w:val="32"/>
          <w:lang w:eastAsia="zh-CN"/>
        </w:rPr>
        <w:t>全省月</w:t>
      </w:r>
      <w:r>
        <w:rPr>
          <w:rFonts w:hint="default" w:ascii="Times New Roman" w:hAnsi="Times New Roman" w:cs="Times New Roman"/>
          <w:spacing w:val="0"/>
          <w:sz w:val="32"/>
          <w:szCs w:val="32"/>
        </w:rPr>
        <w:t>最低工资标准</w:t>
      </w:r>
      <w:r>
        <w:rPr>
          <w:rFonts w:hint="eastAsia" w:ascii="Times New Roman" w:hAnsi="Times New Roman" w:cs="Times New Roman"/>
          <w:spacing w:val="0"/>
          <w:sz w:val="32"/>
          <w:szCs w:val="32"/>
          <w:lang w:eastAsia="zh-CN"/>
        </w:rPr>
        <w:t>第一档</w:t>
      </w:r>
      <w:r>
        <w:rPr>
          <w:rFonts w:hint="default" w:ascii="Times New Roman" w:hAnsi="Times New Roman" w:cs="Times New Roman"/>
          <w:spacing w:val="0"/>
          <w:sz w:val="32"/>
          <w:szCs w:val="32"/>
        </w:rPr>
        <w:t>的，补足到</w:t>
      </w:r>
      <w:r>
        <w:rPr>
          <w:rFonts w:hint="eastAsia" w:ascii="Times New Roman" w:hAnsi="Times New Roman" w:cs="Times New Roman"/>
          <w:spacing w:val="0"/>
          <w:sz w:val="32"/>
          <w:szCs w:val="32"/>
          <w:lang w:eastAsia="zh-CN"/>
        </w:rPr>
        <w:t>全省月</w:t>
      </w:r>
      <w:r>
        <w:rPr>
          <w:rFonts w:hint="default" w:ascii="Times New Roman" w:hAnsi="Times New Roman" w:cs="Times New Roman"/>
          <w:spacing w:val="0"/>
          <w:sz w:val="32"/>
          <w:szCs w:val="32"/>
        </w:rPr>
        <w:t>最低工资标准</w:t>
      </w:r>
      <w:r>
        <w:rPr>
          <w:rFonts w:hint="eastAsia" w:ascii="Times New Roman" w:hAnsi="Times New Roman" w:cs="Times New Roman"/>
          <w:spacing w:val="0"/>
          <w:sz w:val="32"/>
          <w:szCs w:val="32"/>
          <w:lang w:eastAsia="zh-CN"/>
        </w:rPr>
        <w:t>第一档</w:t>
      </w:r>
      <w:r>
        <w:rPr>
          <w:rFonts w:hint="default" w:ascii="Times New Roman" w:hAnsi="Times New Roman" w:cs="Times New Roman"/>
          <w:spacing w:val="0"/>
          <w:sz w:val="32"/>
          <w:szCs w:val="32"/>
        </w:rPr>
        <w:t>。</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outlineLvl w:val="9"/>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（三）资金来源</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outlineLvl w:val="9"/>
        <w:rPr>
          <w:rFonts w:hint="default" w:ascii="Times New Roman" w:hAnsi="Times New Roman" w:cs="Times New Roman"/>
          <w:spacing w:val="0"/>
          <w:sz w:val="32"/>
          <w:szCs w:val="32"/>
        </w:rPr>
      </w:pPr>
      <w:r>
        <w:rPr>
          <w:rFonts w:hint="default" w:ascii="Times New Roman" w:hAnsi="Times New Roman" w:cs="Times New Roman"/>
          <w:spacing w:val="0"/>
          <w:sz w:val="32"/>
          <w:szCs w:val="32"/>
        </w:rPr>
        <w:t>参加了工伤保险社会统筹并由工伤保险基金支付伤残津贴的工伤人员，增加的伤残津贴，由工伤保险基金支付；参加了工伤保险社会统筹并由用人单位支付伤残津贴的人员，增加的伤残津贴，由用人单位支付。</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outlineLvl w:val="9"/>
        <w:rPr>
          <w:rFonts w:hint="default" w:ascii="Times New Roman" w:hAnsi="Times New Roman" w:cs="Times New Roman"/>
          <w:spacing w:val="0"/>
          <w:sz w:val="32"/>
          <w:szCs w:val="32"/>
        </w:rPr>
      </w:pPr>
      <w:r>
        <w:rPr>
          <w:rFonts w:hint="default" w:ascii="Times New Roman" w:hAnsi="Times New Roman" w:cs="Times New Roman"/>
          <w:spacing w:val="0"/>
          <w:sz w:val="32"/>
          <w:szCs w:val="32"/>
        </w:rPr>
        <w:t>未参加工伤保险社会统筹</w:t>
      </w:r>
      <w:r>
        <w:rPr>
          <w:rFonts w:hint="eastAsia" w:ascii="Times New Roman" w:hAnsi="Times New Roman" w:cs="Times New Roman"/>
          <w:spacing w:val="0"/>
          <w:sz w:val="32"/>
          <w:szCs w:val="32"/>
          <w:lang w:eastAsia="zh-CN"/>
        </w:rPr>
        <w:t>但</w:t>
      </w:r>
      <w:r>
        <w:rPr>
          <w:rFonts w:hint="default" w:ascii="Times New Roman" w:hAnsi="Times New Roman" w:cs="Times New Roman"/>
          <w:spacing w:val="0"/>
          <w:sz w:val="32"/>
          <w:szCs w:val="32"/>
        </w:rPr>
        <w:t>享受伤残津贴的工伤人员，调整伤残津贴所需资金按原渠道解决。其中已移交市州、县市区政府管理的中央下放关闭破产企业和省属国有改革改制企业的工伤人员，按本通知调整伤残津贴（或伤残抚恤金）标准增加的经费，由市州、县市区负责解决。</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二、因工死亡职工供养亲属抚恤金的调整</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outlineLvl w:val="9"/>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（一）调整时间和范围</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outlineLvl w:val="9"/>
        <w:rPr>
          <w:rFonts w:hint="default" w:ascii="Times New Roman" w:hAnsi="Times New Roman" w:cs="Times New Roman"/>
          <w:spacing w:val="0"/>
          <w:sz w:val="32"/>
          <w:szCs w:val="32"/>
        </w:rPr>
      </w:pPr>
      <w:r>
        <w:rPr>
          <w:rFonts w:hint="default" w:ascii="Times New Roman" w:hAnsi="Times New Roman" w:cs="Times New Roman"/>
          <w:spacing w:val="0"/>
          <w:sz w:val="32"/>
          <w:szCs w:val="32"/>
        </w:rPr>
        <w:t>从20</w:t>
      </w:r>
      <w:r>
        <w:rPr>
          <w:rFonts w:hint="eastAsia" w:ascii="Times New Roman" w:hAnsi="Times New Roman" w:cs="Times New Roman"/>
          <w:spacing w:val="0"/>
          <w:sz w:val="32"/>
          <w:szCs w:val="32"/>
          <w:lang w:val="en-US" w:eastAsia="zh-CN"/>
        </w:rPr>
        <w:t>22</w:t>
      </w:r>
      <w:r>
        <w:rPr>
          <w:rFonts w:hint="default" w:ascii="Times New Roman" w:hAnsi="Times New Roman" w:cs="Times New Roman"/>
          <w:spacing w:val="0"/>
          <w:sz w:val="32"/>
          <w:szCs w:val="32"/>
        </w:rPr>
        <w:t>年1月1日起，对20</w:t>
      </w:r>
      <w:r>
        <w:rPr>
          <w:rFonts w:hint="eastAsia" w:ascii="Times New Roman" w:hAnsi="Times New Roman" w:cs="Times New Roman"/>
          <w:spacing w:val="0"/>
          <w:sz w:val="32"/>
          <w:szCs w:val="32"/>
          <w:lang w:val="en-US" w:eastAsia="zh-CN"/>
        </w:rPr>
        <w:t>21</w:t>
      </w:r>
      <w:r>
        <w:rPr>
          <w:rFonts w:hint="default" w:ascii="Times New Roman" w:hAnsi="Times New Roman" w:cs="Times New Roman"/>
          <w:spacing w:val="0"/>
          <w:sz w:val="32"/>
          <w:szCs w:val="32"/>
        </w:rPr>
        <w:t>年12月31日前已认定为因工死亡职工的供养亲属仍符合领取供养亲属抚恤金条件并按月领取供养亲属抚恤金的人员，调整增加供养亲属抚恤金。</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outlineLvl w:val="9"/>
        <w:rPr>
          <w:rFonts w:hint="default" w:ascii="楷体_GB2312" w:hAnsi="楷体_GB2312" w:eastAsia="楷体_GB2312" w:cs="楷体_GB2312"/>
          <w:spacing w:val="0"/>
          <w:sz w:val="32"/>
          <w:szCs w:val="32"/>
        </w:rPr>
      </w:pPr>
      <w:r>
        <w:rPr>
          <w:rFonts w:hint="default" w:ascii="楷体_GB2312" w:hAnsi="楷体_GB2312" w:eastAsia="楷体_GB2312" w:cs="楷体_GB2312"/>
          <w:spacing w:val="0"/>
          <w:sz w:val="32"/>
          <w:szCs w:val="32"/>
        </w:rPr>
        <w:t>（二）调整标准</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outlineLvl w:val="9"/>
        <w:rPr>
          <w:rFonts w:hint="default" w:ascii="Times New Roman" w:hAnsi="Times New Roman" w:cs="Times New Roman"/>
          <w:spacing w:val="0"/>
          <w:sz w:val="32"/>
          <w:szCs w:val="32"/>
        </w:rPr>
      </w:pPr>
      <w:r>
        <w:rPr>
          <w:rFonts w:hint="default" w:ascii="Times New Roman" w:hAnsi="Times New Roman" w:cs="Times New Roman"/>
          <w:spacing w:val="0"/>
          <w:sz w:val="32"/>
          <w:szCs w:val="32"/>
        </w:rPr>
        <w:t>符合调整增加供养亲属抚恤金范围的因工死亡职工供养亲属，其供养亲属抚恤金每人每月增加</w:t>
      </w:r>
      <w:r>
        <w:rPr>
          <w:rFonts w:hint="eastAsia" w:ascii="Times New Roman" w:hAnsi="Times New Roman" w:cs="Times New Roman"/>
          <w:spacing w:val="0"/>
          <w:sz w:val="32"/>
          <w:szCs w:val="32"/>
          <w:lang w:val="en-US" w:eastAsia="zh-CN"/>
        </w:rPr>
        <w:t>46</w:t>
      </w:r>
      <w:r>
        <w:rPr>
          <w:rFonts w:hint="default" w:ascii="Times New Roman" w:hAnsi="Times New Roman" w:cs="Times New Roman"/>
          <w:spacing w:val="0"/>
          <w:sz w:val="32"/>
          <w:szCs w:val="32"/>
        </w:rPr>
        <w:t>元。</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outlineLvl w:val="9"/>
        <w:rPr>
          <w:rFonts w:hint="default" w:ascii="楷体_GB2312" w:hAnsi="楷体_GB2312" w:eastAsia="楷体_GB2312" w:cs="楷体_GB2312"/>
          <w:spacing w:val="0"/>
          <w:sz w:val="32"/>
          <w:szCs w:val="32"/>
        </w:rPr>
      </w:pPr>
      <w:r>
        <w:rPr>
          <w:rFonts w:hint="default" w:ascii="楷体_GB2312" w:hAnsi="楷体_GB2312" w:eastAsia="楷体_GB2312" w:cs="楷体_GB2312"/>
          <w:spacing w:val="0"/>
          <w:sz w:val="32"/>
          <w:szCs w:val="32"/>
        </w:rPr>
        <w:t>（三）资金来源</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outlineLvl w:val="9"/>
        <w:rPr>
          <w:rFonts w:hint="default" w:ascii="Times New Roman" w:hAnsi="Times New Roman" w:cs="Times New Roman"/>
          <w:spacing w:val="0"/>
          <w:sz w:val="32"/>
          <w:szCs w:val="32"/>
        </w:rPr>
      </w:pPr>
      <w:r>
        <w:rPr>
          <w:rFonts w:hint="default" w:ascii="Times New Roman" w:hAnsi="Times New Roman" w:cs="Times New Roman"/>
          <w:spacing w:val="0"/>
          <w:sz w:val="32"/>
          <w:szCs w:val="32"/>
        </w:rPr>
        <w:t>调整后的供养亲属抚恤金由原渠道支付。</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outlineLvl w:val="9"/>
        <w:rPr>
          <w:rFonts w:hint="default" w:ascii="Times New Roman" w:hAnsi="Times New Roman" w:cs="Times New Roman"/>
          <w:spacing w:val="0"/>
          <w:sz w:val="32"/>
          <w:szCs w:val="32"/>
        </w:rPr>
      </w:pPr>
      <w:r>
        <w:rPr>
          <w:rFonts w:hint="default" w:ascii="Times New Roman" w:hAnsi="Times New Roman" w:cs="Times New Roman"/>
          <w:spacing w:val="0"/>
          <w:sz w:val="32"/>
          <w:szCs w:val="32"/>
        </w:rPr>
        <w:t>关闭破产时已移交市州、县市区政府管理的中央下放关闭破产企业和已预留因工死亡职工供养亲属抚恤金的省属国有改革改制企业，按本通知调整因工死亡职工供养亲属抚恤金标准增加的经费，由市州、县市区负责解决。</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outlineLvl w:val="9"/>
        <w:rPr>
          <w:rFonts w:hint="default" w:ascii="Times New Roman" w:hAnsi="Times New Roman" w:cs="Times New Roman"/>
          <w:spacing w:val="0"/>
          <w:sz w:val="32"/>
          <w:szCs w:val="32"/>
        </w:rPr>
      </w:pPr>
      <w:r>
        <w:rPr>
          <w:rFonts w:hint="default" w:ascii="Times New Roman" w:hAnsi="Times New Roman" w:cs="Times New Roman"/>
          <w:spacing w:val="0"/>
          <w:sz w:val="32"/>
          <w:szCs w:val="32"/>
        </w:rPr>
        <w:t>已移交市州、县市区政府管理的省属国有改革改制企业</w:t>
      </w:r>
      <w:r>
        <w:rPr>
          <w:rFonts w:hint="eastAsia" w:ascii="Times New Roman" w:hAnsi="Times New Roman" w:cs="Times New Roman"/>
          <w:spacing w:val="0"/>
          <w:sz w:val="32"/>
          <w:szCs w:val="32"/>
          <w:lang w:eastAsia="zh-CN"/>
        </w:rPr>
        <w:t>但</w:t>
      </w:r>
      <w:r>
        <w:rPr>
          <w:rFonts w:hint="default" w:ascii="Times New Roman" w:hAnsi="Times New Roman" w:cs="Times New Roman"/>
          <w:spacing w:val="0"/>
          <w:sz w:val="32"/>
          <w:szCs w:val="32"/>
        </w:rPr>
        <w:t>未预留因工死亡职工供养亲属抚恤金的，按本通知调整因工死亡职工供养亲属抚恤金标准增加的经费，由省级财政解决。</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三、其他有关事项</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outlineLvl w:val="9"/>
        <w:rPr>
          <w:rFonts w:hint="default" w:ascii="Times New Roman" w:hAnsi="Times New Roman" w:cs="Times New Roman"/>
          <w:spacing w:val="0"/>
          <w:sz w:val="32"/>
          <w:szCs w:val="32"/>
        </w:rPr>
      </w:pPr>
      <w:r>
        <w:rPr>
          <w:rFonts w:hint="default" w:ascii="Times New Roman" w:hAnsi="Times New Roman" w:cs="Times New Roman"/>
          <w:spacing w:val="0"/>
          <w:sz w:val="32"/>
          <w:szCs w:val="32"/>
        </w:rPr>
        <w:t>（一）此次工伤人员伤残津贴和供养亲属抚恤金的调整，参加了工伤保险社会统筹的，根据所属管辖范围和分级管理原则，</w:t>
      </w:r>
      <w:r>
        <w:rPr>
          <w:rFonts w:hint="eastAsia" w:ascii="Times New Roman" w:hAnsi="Times New Roman" w:cs="Times New Roman"/>
          <w:spacing w:val="0"/>
          <w:sz w:val="32"/>
          <w:szCs w:val="32"/>
          <w:lang w:eastAsia="zh-CN"/>
        </w:rPr>
        <w:t>各地</w:t>
      </w:r>
      <w:r>
        <w:rPr>
          <w:rFonts w:hint="default" w:ascii="Times New Roman" w:hAnsi="Times New Roman" w:cs="Times New Roman"/>
          <w:spacing w:val="0"/>
          <w:sz w:val="32"/>
          <w:szCs w:val="32"/>
        </w:rPr>
        <w:t>工伤保险经办机构</w:t>
      </w:r>
      <w:r>
        <w:rPr>
          <w:rFonts w:hint="eastAsia" w:ascii="Times New Roman" w:hAnsi="Times New Roman" w:cs="Times New Roman"/>
          <w:spacing w:val="0"/>
          <w:sz w:val="32"/>
          <w:szCs w:val="32"/>
          <w:lang w:eastAsia="zh-CN"/>
        </w:rPr>
        <w:t>可</w:t>
      </w:r>
      <w:r>
        <w:rPr>
          <w:rFonts w:hint="eastAsia" w:eastAsia="仿宋_GB2312"/>
          <w:spacing w:val="0"/>
          <w:sz w:val="32"/>
          <w:szCs w:val="32"/>
        </w:rPr>
        <w:t>在经办信息系统中统一设置，</w:t>
      </w:r>
      <w:r>
        <w:rPr>
          <w:rFonts w:hint="eastAsia"/>
          <w:spacing w:val="0"/>
          <w:sz w:val="32"/>
          <w:szCs w:val="32"/>
          <w:lang w:eastAsia="zh-CN"/>
        </w:rPr>
        <w:t>经</w:t>
      </w:r>
      <w:r>
        <w:rPr>
          <w:rFonts w:hint="eastAsia" w:eastAsia="仿宋_GB2312"/>
          <w:spacing w:val="0"/>
          <w:sz w:val="32"/>
          <w:szCs w:val="32"/>
        </w:rPr>
        <w:t>核对无误后进行调整。</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outlineLvl w:val="9"/>
        <w:rPr>
          <w:rFonts w:hint="default" w:ascii="Times New Roman" w:hAnsi="Times New Roman" w:cs="Times New Roman"/>
          <w:spacing w:val="0"/>
          <w:sz w:val="32"/>
          <w:szCs w:val="32"/>
        </w:rPr>
      </w:pPr>
      <w:r>
        <w:rPr>
          <w:rFonts w:hint="default" w:ascii="Times New Roman" w:hAnsi="Times New Roman" w:cs="Times New Roman"/>
          <w:spacing w:val="0"/>
          <w:sz w:val="32"/>
          <w:szCs w:val="32"/>
        </w:rPr>
        <w:t>（二）参加了工伤保险社会统筹的</w:t>
      </w:r>
      <w:r>
        <w:rPr>
          <w:rFonts w:hint="default" w:ascii="Times New Roman" w:hAnsi="Times New Roman" w:cs="Times New Roman"/>
          <w:spacing w:val="0"/>
          <w:sz w:val="32"/>
          <w:szCs w:val="32"/>
          <w:lang w:eastAsia="zh-CN"/>
        </w:rPr>
        <w:t>用人单位</w:t>
      </w:r>
      <w:r>
        <w:rPr>
          <w:rFonts w:hint="default" w:ascii="Times New Roman" w:hAnsi="Times New Roman" w:cs="Times New Roman"/>
          <w:spacing w:val="0"/>
          <w:sz w:val="32"/>
          <w:szCs w:val="32"/>
        </w:rPr>
        <w:t>，在参加工伤保险社会统筹后享受伤残津贴的工伤人员，按照本通知第一部分的规定调整增加伤残津贴；在参加工伤保险社会统筹后认定为因工死亡的职工，其供养亲属中符合领取供养亲属抚恤金条件并按月领取供养亲属抚恤金的人员，按照本通知第二部分的规定调整增加供养亲属抚恤金。</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outlineLvl w:val="9"/>
        <w:rPr>
          <w:rFonts w:hint="default" w:ascii="Times New Roman" w:hAnsi="Times New Roman" w:cs="Times New Roman"/>
          <w:spacing w:val="0"/>
          <w:sz w:val="32"/>
          <w:szCs w:val="32"/>
        </w:rPr>
      </w:pPr>
      <w:r>
        <w:rPr>
          <w:rFonts w:hint="default" w:ascii="Times New Roman" w:hAnsi="Times New Roman" w:cs="Times New Roman"/>
          <w:spacing w:val="0"/>
          <w:sz w:val="32"/>
          <w:szCs w:val="32"/>
        </w:rPr>
        <w:t>（三）对于《工伤保险条例》实施前（2003年12月31日前）发生的工伤，其工伤人员中目前仍按月享受伤残抚恤金的，其伤残抚恤金的调整标准和资金来源按照本通知第一部分第（二）（三）项的规定进行。</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outlineLvl w:val="9"/>
        <w:rPr>
          <w:rFonts w:hint="default" w:ascii="Times New Roman" w:hAnsi="Times New Roman" w:cs="Times New Roman"/>
          <w:spacing w:val="0"/>
          <w:sz w:val="32"/>
          <w:szCs w:val="32"/>
        </w:rPr>
      </w:pPr>
      <w:r>
        <w:rPr>
          <w:rFonts w:hint="default" w:ascii="Times New Roman" w:hAnsi="Times New Roman" w:cs="Times New Roman"/>
          <w:spacing w:val="0"/>
          <w:sz w:val="32"/>
          <w:szCs w:val="32"/>
        </w:rPr>
        <w:t>（四）工伤人员伤残津贴和供养亲属抚恤金支付渠道有新规定时，调整增加的经费支付渠道从新规定。</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outlineLvl w:val="9"/>
        <w:rPr>
          <w:rFonts w:hint="default" w:ascii="Times New Roman" w:hAnsi="Times New Roman" w:cs="Times New Roman"/>
          <w:spacing w:val="0"/>
          <w:sz w:val="32"/>
          <w:szCs w:val="32"/>
        </w:rPr>
      </w:pPr>
      <w:r>
        <w:rPr>
          <w:rFonts w:hint="default" w:ascii="Times New Roman" w:hAnsi="Times New Roman" w:cs="Times New Roman"/>
          <w:spacing w:val="0"/>
          <w:sz w:val="32"/>
          <w:szCs w:val="32"/>
        </w:rPr>
        <w:t>（五）已享受基本养老保险待遇，按照</w:t>
      </w:r>
      <w:r>
        <w:rPr>
          <w:rFonts w:hint="default" w:ascii="Times New Roman" w:hAnsi="Times New Roman" w:cs="Times New Roman"/>
          <w:color w:val="auto"/>
          <w:spacing w:val="0"/>
          <w:sz w:val="32"/>
          <w:szCs w:val="32"/>
        </w:rPr>
        <w:t>《</w:t>
      </w:r>
      <w:r>
        <w:rPr>
          <w:rFonts w:hint="eastAsia" w:ascii="Times New Roman" w:hAnsi="Times New Roman" w:cs="Times New Roman"/>
          <w:color w:val="auto"/>
          <w:spacing w:val="0"/>
          <w:sz w:val="32"/>
          <w:szCs w:val="32"/>
          <w:lang w:eastAsia="zh-CN"/>
        </w:rPr>
        <w:t>关于</w:t>
      </w:r>
      <w:r>
        <w:rPr>
          <w:rFonts w:hint="eastAsia" w:ascii="Times New Roman" w:hAnsi="Times New Roman" w:cs="Times New Roman"/>
          <w:color w:val="auto"/>
          <w:spacing w:val="0"/>
          <w:sz w:val="32"/>
          <w:szCs w:val="32"/>
          <w:lang w:val="en-US" w:eastAsia="zh-CN"/>
        </w:rPr>
        <w:t>2022年调整退休人员基本养老金的通知</w:t>
      </w:r>
      <w:r>
        <w:rPr>
          <w:rFonts w:hint="default" w:ascii="Times New Roman" w:hAnsi="Times New Roman" w:cs="Times New Roman"/>
          <w:color w:val="auto"/>
          <w:spacing w:val="0"/>
          <w:sz w:val="32"/>
          <w:szCs w:val="32"/>
        </w:rPr>
        <w:t>》</w:t>
      </w:r>
      <w:r>
        <w:rPr>
          <w:rFonts w:hint="default" w:ascii="Times New Roman" w:hAnsi="Times New Roman" w:cs="Times New Roman"/>
          <w:spacing w:val="0"/>
          <w:sz w:val="32"/>
          <w:szCs w:val="32"/>
        </w:rPr>
        <w:t>文件规定调整增加基本养老金的人员，不再按照本通知的规定调整伤残津贴和供养亲属抚恤金。</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outlineLvl w:val="9"/>
        <w:rPr>
          <w:rFonts w:hint="default" w:ascii="Times New Roman" w:hAnsi="Times New Roman" w:cs="Times New Roman"/>
          <w:spacing w:val="0"/>
          <w:sz w:val="32"/>
          <w:szCs w:val="32"/>
        </w:rPr>
      </w:pPr>
      <w:r>
        <w:rPr>
          <w:rFonts w:hint="default" w:ascii="Times New Roman" w:hAnsi="Times New Roman" w:cs="Times New Roman"/>
          <w:spacing w:val="0"/>
          <w:sz w:val="32"/>
          <w:szCs w:val="32"/>
        </w:rPr>
        <w:t>对工伤人员伤残津贴和因工死亡职工供养亲属抚恤金的调整提高，关系到这部分群体的切身利益。各地要高度重视，切实加强领导，认真组织实施，确保这项工作顺利进行。</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outlineLvl w:val="9"/>
        <w:rPr>
          <w:rFonts w:hint="default" w:ascii="Times New Roman" w:hAnsi="Times New Roman"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outlineLvl w:val="9"/>
        <w:rPr>
          <w:rFonts w:hint="default" w:ascii="Times New Roman" w:hAnsi="Times New Roman"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outlineLvl w:val="9"/>
        <w:rPr>
          <w:rFonts w:hint="default" w:ascii="Times New Roman" w:hAnsi="Times New Roman"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552" w:lineRule="exact"/>
        <w:jc w:val="center"/>
        <w:textAlignment w:val="auto"/>
        <w:outlineLvl w:val="9"/>
        <w:rPr>
          <w:rFonts w:hint="default" w:ascii="Times New Roman" w:hAnsi="Times New Roman" w:cs="Times New Roman"/>
          <w:spacing w:val="0"/>
          <w:sz w:val="32"/>
          <w:szCs w:val="32"/>
        </w:rPr>
      </w:pPr>
      <w:r>
        <w:rPr>
          <w:rFonts w:hint="default" w:ascii="Times New Roman" w:hAnsi="Times New Roman" w:cs="Times New Roman"/>
          <w:spacing w:val="0"/>
          <w:sz w:val="32"/>
          <w:szCs w:val="32"/>
        </w:rPr>
        <w:t>湖南省人力资源和社会保障厅        湖</w:t>
      </w:r>
      <w:r>
        <w:rPr>
          <w:rFonts w:hint="default" w:ascii="Times New Roman" w:hAnsi="Times New Roman" w:cs="Times New Roman"/>
          <w:spacing w:val="0"/>
          <w:sz w:val="32"/>
          <w:szCs w:val="32"/>
          <w:lang w:val="en-US" w:eastAsia="zh-CN"/>
        </w:rPr>
        <w:t xml:space="preserve"> </w:t>
      </w:r>
      <w:r>
        <w:rPr>
          <w:rFonts w:hint="default" w:ascii="Times New Roman" w:hAnsi="Times New Roman" w:cs="Times New Roman"/>
          <w:spacing w:val="0"/>
          <w:sz w:val="32"/>
          <w:szCs w:val="32"/>
        </w:rPr>
        <w:t>南</w:t>
      </w:r>
      <w:r>
        <w:rPr>
          <w:rFonts w:hint="default" w:ascii="Times New Roman" w:hAnsi="Times New Roman" w:cs="Times New Roman"/>
          <w:spacing w:val="0"/>
          <w:sz w:val="32"/>
          <w:szCs w:val="32"/>
          <w:lang w:val="en-US" w:eastAsia="zh-CN"/>
        </w:rPr>
        <w:t xml:space="preserve"> </w:t>
      </w:r>
      <w:r>
        <w:rPr>
          <w:rFonts w:hint="default" w:ascii="Times New Roman" w:hAnsi="Times New Roman" w:cs="Times New Roman"/>
          <w:spacing w:val="0"/>
          <w:sz w:val="32"/>
          <w:szCs w:val="32"/>
        </w:rPr>
        <w:t>省</w:t>
      </w:r>
      <w:r>
        <w:rPr>
          <w:rFonts w:hint="default" w:ascii="Times New Roman" w:hAnsi="Times New Roman" w:cs="Times New Roman"/>
          <w:spacing w:val="0"/>
          <w:sz w:val="32"/>
          <w:szCs w:val="32"/>
          <w:lang w:val="en-US" w:eastAsia="zh-CN"/>
        </w:rPr>
        <w:t xml:space="preserve"> </w:t>
      </w:r>
      <w:r>
        <w:rPr>
          <w:rFonts w:hint="default" w:ascii="Times New Roman" w:hAnsi="Times New Roman" w:cs="Times New Roman"/>
          <w:spacing w:val="0"/>
          <w:sz w:val="32"/>
          <w:szCs w:val="32"/>
        </w:rPr>
        <w:t>财</w:t>
      </w:r>
      <w:r>
        <w:rPr>
          <w:rFonts w:hint="default" w:ascii="Times New Roman" w:hAnsi="Times New Roman" w:cs="Times New Roman"/>
          <w:spacing w:val="0"/>
          <w:sz w:val="32"/>
          <w:szCs w:val="32"/>
          <w:lang w:val="en-US" w:eastAsia="zh-CN"/>
        </w:rPr>
        <w:t xml:space="preserve"> </w:t>
      </w:r>
      <w:r>
        <w:rPr>
          <w:rFonts w:hint="default" w:ascii="Times New Roman" w:hAnsi="Times New Roman" w:cs="Times New Roman"/>
          <w:spacing w:val="0"/>
          <w:sz w:val="32"/>
          <w:szCs w:val="32"/>
        </w:rPr>
        <w:t>政</w:t>
      </w:r>
      <w:r>
        <w:rPr>
          <w:rFonts w:hint="default" w:ascii="Times New Roman" w:hAnsi="Times New Roman" w:cs="Times New Roman"/>
          <w:spacing w:val="0"/>
          <w:sz w:val="32"/>
          <w:szCs w:val="32"/>
          <w:lang w:val="en-US" w:eastAsia="zh-CN"/>
        </w:rPr>
        <w:t xml:space="preserve"> </w:t>
      </w:r>
      <w:r>
        <w:rPr>
          <w:rFonts w:hint="default" w:ascii="Times New Roman" w:hAnsi="Times New Roman" w:cs="Times New Roman"/>
          <w:spacing w:val="0"/>
          <w:sz w:val="32"/>
          <w:szCs w:val="32"/>
        </w:rPr>
        <w:t>厅</w:t>
      </w:r>
    </w:p>
    <w:p>
      <w:pPr>
        <w:keepNext w:val="0"/>
        <w:keepLines w:val="0"/>
        <w:pageBreakBefore w:val="0"/>
        <w:widowControl w:val="0"/>
        <w:kinsoku/>
        <w:wordWrap/>
        <w:overflowPunct/>
        <w:topLinePunct w:val="0"/>
        <w:autoSpaceDE/>
        <w:autoSpaceDN/>
        <w:bidi w:val="0"/>
        <w:adjustRightInd/>
        <w:snapToGrid/>
        <w:spacing w:line="552" w:lineRule="exact"/>
        <w:jc w:val="center"/>
        <w:textAlignment w:val="auto"/>
        <w:outlineLvl w:val="9"/>
        <w:rPr>
          <w:rFonts w:hint="default" w:ascii="Times New Roman" w:hAnsi="Times New Roman" w:cs="Times New Roman"/>
          <w:spacing w:val="0"/>
          <w:sz w:val="32"/>
          <w:szCs w:val="32"/>
        </w:rPr>
      </w:pPr>
      <w:r>
        <w:rPr>
          <w:rFonts w:hint="eastAsia" w:ascii="Times New Roman" w:hAnsi="Times New Roman" w:cs="Times New Roman"/>
          <w:spacing w:val="0"/>
          <w:sz w:val="32"/>
          <w:szCs w:val="32"/>
          <w:lang w:val="en-US" w:eastAsia="zh-CN"/>
        </w:rPr>
        <w:t xml:space="preserve">                                  </w:t>
      </w:r>
      <w:r>
        <w:rPr>
          <w:rFonts w:hint="default" w:ascii="Times New Roman" w:hAnsi="Times New Roman" w:cs="Times New Roman"/>
          <w:spacing w:val="0"/>
          <w:sz w:val="32"/>
          <w:szCs w:val="32"/>
        </w:rPr>
        <w:t>20</w:t>
      </w:r>
      <w:r>
        <w:rPr>
          <w:rFonts w:hint="eastAsia" w:ascii="Times New Roman" w:hAnsi="Times New Roman" w:cs="Times New Roman"/>
          <w:spacing w:val="0"/>
          <w:sz w:val="32"/>
          <w:szCs w:val="32"/>
          <w:lang w:val="en-US" w:eastAsia="zh-CN"/>
        </w:rPr>
        <w:t>22</w:t>
      </w:r>
      <w:r>
        <w:rPr>
          <w:rFonts w:hint="default" w:ascii="Times New Roman" w:hAnsi="Times New Roman" w:cs="Times New Roman"/>
          <w:spacing w:val="0"/>
          <w:sz w:val="32"/>
          <w:szCs w:val="32"/>
        </w:rPr>
        <w:t>年</w:t>
      </w:r>
      <w:r>
        <w:rPr>
          <w:rFonts w:hint="eastAsia" w:ascii="Times New Roman" w:hAnsi="Times New Roman" w:cs="Times New Roman"/>
          <w:spacing w:val="0"/>
          <w:sz w:val="32"/>
          <w:szCs w:val="32"/>
          <w:lang w:val="en-US" w:eastAsia="zh-CN"/>
        </w:rPr>
        <w:t>10</w:t>
      </w:r>
      <w:r>
        <w:rPr>
          <w:rFonts w:hint="default" w:ascii="Times New Roman" w:hAnsi="Times New Roman" w:cs="Times New Roman"/>
          <w:spacing w:val="0"/>
          <w:sz w:val="32"/>
          <w:szCs w:val="32"/>
        </w:rPr>
        <w:t>月</w:t>
      </w:r>
      <w:r>
        <w:rPr>
          <w:rFonts w:hint="eastAsia" w:ascii="Times New Roman" w:hAnsi="Times New Roman" w:cs="Times New Roman"/>
          <w:spacing w:val="0"/>
          <w:sz w:val="32"/>
          <w:szCs w:val="32"/>
          <w:lang w:val="en-US" w:eastAsia="zh-CN"/>
        </w:rPr>
        <w:t>12</w:t>
      </w:r>
      <w:r>
        <w:rPr>
          <w:rFonts w:hint="default" w:ascii="Times New Roman" w:hAnsi="Times New Roman" w:cs="Times New Roman"/>
          <w:spacing w:val="0"/>
          <w:sz w:val="32"/>
          <w:szCs w:val="32"/>
        </w:rPr>
        <w:t>日</w:t>
      </w:r>
    </w:p>
    <w:p>
      <w:pPr>
        <w:keepNext w:val="0"/>
        <w:keepLines w:val="0"/>
        <w:pageBreakBefore w:val="0"/>
        <w:widowControl w:val="0"/>
        <w:kinsoku/>
        <w:wordWrap/>
        <w:overflowPunct/>
        <w:topLinePunct w:val="0"/>
        <w:autoSpaceDE/>
        <w:autoSpaceDN/>
        <w:bidi w:val="0"/>
        <w:adjustRightInd/>
        <w:snapToGrid/>
        <w:spacing w:line="552" w:lineRule="exact"/>
        <w:jc w:val="center"/>
        <w:textAlignment w:val="auto"/>
        <w:outlineLvl w:val="9"/>
        <w:rPr>
          <w:rFonts w:hint="default" w:ascii="Times New Roman" w:hAnsi="Times New Roman"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552" w:lineRule="exact"/>
        <w:jc w:val="left"/>
        <w:textAlignment w:val="auto"/>
        <w:outlineLvl w:val="9"/>
        <w:rPr>
          <w:rFonts w:hint="default" w:ascii="Times New Roman" w:hAnsi="Times New Roman" w:eastAsia="仿宋_GB2312" w:cs="Times New Roman"/>
          <w:spacing w:val="0"/>
          <w:sz w:val="32"/>
          <w:szCs w:val="32"/>
          <w:lang w:val="en-US" w:eastAsia="zh-CN"/>
        </w:rPr>
      </w:pPr>
      <w:r>
        <w:rPr>
          <w:rFonts w:hint="default" w:ascii="Times New Roman" w:hAnsi="Times New Roman" w:cs="Times New Roman"/>
          <w:spacing w:val="0"/>
          <w:sz w:val="32"/>
          <w:szCs w:val="32"/>
          <w:lang w:val="en-US" w:eastAsia="zh-CN"/>
        </w:rPr>
        <w:t xml:space="preserve">    （此件主动公开）</w:t>
      </w:r>
    </w:p>
    <w:p>
      <w:pPr>
        <w:keepNext w:val="0"/>
        <w:keepLines w:val="0"/>
        <w:pageBreakBefore w:val="0"/>
        <w:widowControl w:val="0"/>
        <w:kinsoku/>
        <w:wordWrap/>
        <w:overflowPunct/>
        <w:topLinePunct w:val="0"/>
        <w:autoSpaceDE/>
        <w:autoSpaceDN/>
        <w:bidi w:val="0"/>
        <w:adjustRightInd/>
        <w:snapToGrid/>
        <w:spacing w:line="552" w:lineRule="exact"/>
        <w:jc w:val="both"/>
        <w:textAlignment w:val="auto"/>
        <w:outlineLvl w:val="9"/>
        <w:rPr>
          <w:rFonts w:hint="default" w:ascii="Times New Roman" w:hAnsi="Times New Roman" w:eastAsia="仿宋_GB2312" w:cs="Times New Roman"/>
          <w:spacing w:val="0"/>
          <w:sz w:val="32"/>
          <w:szCs w:val="32"/>
          <w:lang w:val="en-US" w:eastAsia="zh-CN"/>
        </w:rPr>
      </w:pPr>
      <w:r>
        <w:rPr>
          <w:rFonts w:hint="default" w:ascii="Times New Roman" w:hAnsi="Times New Roman" w:cs="Times New Roman"/>
          <w:spacing w:val="0"/>
          <w:sz w:val="32"/>
          <w:szCs w:val="32"/>
          <w:lang w:val="en-US" w:eastAsia="zh-CN"/>
        </w:rPr>
        <w:t xml:space="preserve">    （联系单位：工伤保险处）</w:t>
      </w:r>
    </w:p>
    <w:p>
      <w:pPr>
        <w:spacing w:line="200" w:lineRule="exact"/>
        <w:rPr>
          <w:rFonts w:hint="default" w:ascii="Times New Roman" w:hAnsi="Times New Roman" w:eastAsia="仿宋_GB2312" w:cs="Times New Roman"/>
          <w:sz w:val="32"/>
          <w:szCs w:val="32"/>
        </w:rPr>
      </w:pPr>
    </w:p>
    <w:p>
      <w:pPr>
        <w:pStyle w:val="12"/>
        <w:rPr>
          <w:rFonts w:hint="default"/>
        </w:rPr>
      </w:pPr>
    </w:p>
    <w:p>
      <w:pPr>
        <w:pStyle w:val="12"/>
        <w:rPr>
          <w:rFonts w:hint="default"/>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eastAsia="zh-CN"/>
        </w:rPr>
      </w:pPr>
    </w:p>
    <w:p>
      <w:pPr>
        <w:keepNext w:val="0"/>
        <w:keepLines w:val="0"/>
        <w:pageBreakBefore w:val="0"/>
        <w:widowControl w:val="0"/>
        <w:pBdr>
          <w:top w:val="single" w:color="auto" w:sz="8" w:space="1"/>
          <w:bottom w:val="single" w:color="auto" w:sz="8" w:space="1"/>
        </w:pBdr>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rPr>
      </w:pPr>
      <w:r>
        <w:rPr>
          <w:rFonts w:hint="default" w:ascii="Times New Roman" w:hAnsi="Times New Roman" w:eastAsia="仿宋_GB2312" w:cs="Times New Roman"/>
          <w:sz w:val="28"/>
          <w:szCs w:val="28"/>
        </w:rPr>
        <w:t xml:space="preserve">湖南省人力资源和社会保障厅办公室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22</w:t>
      </w:r>
      <w:r>
        <w:rPr>
          <w:rFonts w:hint="default" w:ascii="Times New Roman" w:hAnsi="Times New Roman" w:eastAsia="仿宋_GB2312" w:cs="Times New Roman"/>
          <w:sz w:val="28"/>
          <w:szCs w:val="28"/>
        </w:rPr>
        <w:t>年</w:t>
      </w:r>
      <w:r>
        <w:rPr>
          <w:rFonts w:hint="default" w:ascii="Times New Roman" w:hAnsi="Times New Roman" w:cs="Times New Roman"/>
          <w:sz w:val="28"/>
          <w:szCs w:val="28"/>
          <w:lang w:val="en"/>
        </w:rPr>
        <w:t>10</w:t>
      </w:r>
      <w:r>
        <w:rPr>
          <w:rFonts w:hint="default" w:ascii="Times New Roman" w:hAnsi="Times New Roman" w:eastAsia="仿宋_GB2312" w:cs="Times New Roman"/>
          <w:sz w:val="28"/>
          <w:szCs w:val="28"/>
        </w:rPr>
        <w:t>月</w:t>
      </w:r>
      <w:r>
        <w:rPr>
          <w:rFonts w:hint="default" w:ascii="Times New Roman" w:hAnsi="Times New Roman" w:cs="Times New Roman"/>
          <w:sz w:val="28"/>
          <w:szCs w:val="28"/>
          <w:lang w:val="en-US" w:eastAsia="zh-CN"/>
        </w:rPr>
        <w:t>13</w:t>
      </w:r>
      <w:r>
        <w:rPr>
          <w:rFonts w:hint="default" w:ascii="Times New Roman" w:hAnsi="Times New Roman" w:eastAsia="仿宋_GB2312" w:cs="Times New Roman"/>
          <w:sz w:val="28"/>
          <w:szCs w:val="28"/>
        </w:rPr>
        <w:t>日印</w:t>
      </w:r>
      <w:r>
        <w:rPr>
          <w:rFonts w:hint="default" w:ascii="Times New Roman" w:hAnsi="Times New Roman" w:eastAsia="仿宋_GB2312" w:cs="Times New Roman"/>
          <w:sz w:val="28"/>
          <w:szCs w:val="28"/>
          <w:lang w:eastAsia="zh-CN"/>
        </w:rPr>
        <w:t>发</w:t>
      </w:r>
    </w:p>
    <w:sectPr>
      <w:headerReference r:id="rId5" w:type="first"/>
      <w:headerReference r:id="rId3" w:type="default"/>
      <w:footerReference r:id="rId6" w:type="default"/>
      <w:headerReference r:id="rId4" w:type="even"/>
      <w:footerReference r:id="rId7" w:type="even"/>
      <w:pgSz w:w="11906" w:h="16838"/>
      <w:pgMar w:top="2098" w:right="1474" w:bottom="1984" w:left="1587" w:header="851" w:footer="1134" w:gutter="0"/>
      <w:pgNumType w:fmt="numberInDash" w:start="1"/>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EB2114-AE5F-4E81-9A1C-BFE92F90252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embedRegular r:id="rId2" w:fontKey="{7F679C01-5EDD-483C-B801-F9D5D6A7124E}"/>
  </w:font>
  <w:font w:name="仿宋_GB2312">
    <w:panose1 w:val="02010609030101010101"/>
    <w:charset w:val="86"/>
    <w:family w:val="modern"/>
    <w:pitch w:val="default"/>
    <w:sig w:usb0="00000001" w:usb1="080E0000" w:usb2="00000000" w:usb3="00000000" w:csb0="00040000" w:csb1="00000000"/>
    <w:embedRegular r:id="rId3" w:fontKey="{E1543D48-F774-497D-83E1-9220C0C889AF}"/>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方正仿宋简体">
    <w:altName w:val="微软雅黑"/>
    <w:panose1 w:val="03000509000000000000"/>
    <w:charset w:val="00"/>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4" w:fontKey="{5B481141-F6B3-4412-A275-356B5E983B17}"/>
  </w:font>
  <w:font w:name="方正小标宋_GBK">
    <w:altName w:val="微软雅黑"/>
    <w:panose1 w:val="02000000000000000000"/>
    <w:charset w:val="86"/>
    <w:family w:val="script"/>
    <w:pitch w:val="default"/>
    <w:sig w:usb0="00000000" w:usb1="00000000" w:usb2="00000000" w:usb3="00000000" w:csb0="00040000" w:csb1="00000000"/>
    <w:embedRegular r:id="rId5" w:fontKey="{EE6F8A07-17FA-43E3-B702-2810DD9BFFDE}"/>
  </w:font>
  <w:font w:name="方正小标宋简体">
    <w:panose1 w:val="03000509000000000000"/>
    <w:charset w:val="86"/>
    <w:family w:val="script"/>
    <w:pitch w:val="default"/>
    <w:sig w:usb0="00000001" w:usb1="080E0000" w:usb2="00000000" w:usb3="00000000" w:csb0="00040000" w:csb1="00000000"/>
    <w:embedRegular r:id="rId6" w:fontKey="{D1D08DE9-E798-464C-9BBF-D630DB6E1E81}"/>
  </w:font>
  <w:font w:name="华文中宋">
    <w:altName w:val="宋体"/>
    <w:panose1 w:val="02010600040101010101"/>
    <w:charset w:val="86"/>
    <w:family w:val="auto"/>
    <w:pitch w:val="default"/>
    <w:sig w:usb0="00000000" w:usb1="00000000" w:usb2="00000000" w:usb3="00000000" w:csb0="0004009F" w:csb1="DFD7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hint="eastAsia"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jc w:val="right"/>
                          </w:pPr>
                          <w:r>
                            <w:rPr>
                              <w:rFonts w:hint="eastAsia" w:ascii="宋体" w:hAnsi="宋体"/>
                              <w:sz w:val="28"/>
                              <w:szCs w:val="28"/>
                            </w:rPr>
                            <w:fldChar w:fldCharType="begin"/>
                          </w:r>
                          <w:r>
                            <w:rPr>
                              <w:rStyle w:val="17"/>
                              <w:rFonts w:hint="eastAsia" w:ascii="宋体" w:hAnsi="宋体"/>
                              <w:sz w:val="28"/>
                              <w:szCs w:val="28"/>
                            </w:rPr>
                            <w:instrText xml:space="preserve"> PAGE </w:instrText>
                          </w:r>
                          <w:r>
                            <w:rPr>
                              <w:rFonts w:hint="eastAsia" w:ascii="宋体" w:hAnsi="宋体"/>
                              <w:sz w:val="28"/>
                              <w:szCs w:val="28"/>
                            </w:rPr>
                            <w:fldChar w:fldCharType="separate"/>
                          </w:r>
                          <w:r>
                            <w:rPr>
                              <w:rStyle w:val="17"/>
                              <w:rFonts w:ascii="宋体" w:hAnsi="宋体"/>
                              <w:sz w:val="28"/>
                              <w:szCs w:val="28"/>
                            </w:rPr>
                            <w:t>- 3 -</w:t>
                          </w:r>
                          <w:r>
                            <w:rPr>
                              <w:rFonts w:hint="eastAsia"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OCaDI8bAgAAIQQAAA4A&#10;AAAAAAAAAQAgAAAAHwEAAGRycy9lMm9Eb2MueG1sUEsFBgAAAAAGAAYAWQEAAKwFAAAAAA==&#10;">
              <v:fill on="f" focussize="0,0"/>
              <v:stroke on="f" weight="0.5pt"/>
              <v:imagedata o:title=""/>
              <o:lock v:ext="edit" aspectratio="f"/>
              <v:textbox inset="0mm,0mm,0mm,0mm" style="mso-fit-shape-to-text:t;">
                <w:txbxContent>
                  <w:p>
                    <w:pPr>
                      <w:pStyle w:val="10"/>
                      <w:jc w:val="right"/>
                    </w:pPr>
                    <w:r>
                      <w:rPr>
                        <w:rFonts w:hint="eastAsia" w:ascii="宋体" w:hAnsi="宋体"/>
                        <w:sz w:val="28"/>
                        <w:szCs w:val="28"/>
                      </w:rPr>
                      <w:fldChar w:fldCharType="begin"/>
                    </w:r>
                    <w:r>
                      <w:rPr>
                        <w:rStyle w:val="17"/>
                        <w:rFonts w:hint="eastAsia" w:ascii="宋体" w:hAnsi="宋体"/>
                        <w:sz w:val="28"/>
                        <w:szCs w:val="28"/>
                      </w:rPr>
                      <w:instrText xml:space="preserve"> PAGE </w:instrText>
                    </w:r>
                    <w:r>
                      <w:rPr>
                        <w:rFonts w:hint="eastAsia" w:ascii="宋体" w:hAnsi="宋体"/>
                        <w:sz w:val="28"/>
                        <w:szCs w:val="28"/>
                      </w:rPr>
                      <w:fldChar w:fldCharType="separate"/>
                    </w:r>
                    <w:r>
                      <w:rPr>
                        <w:rStyle w:val="17"/>
                        <w:rFonts w:ascii="宋体" w:hAnsi="宋体"/>
                        <w:sz w:val="28"/>
                        <w:szCs w:val="28"/>
                      </w:rPr>
                      <w:t>- 3 -</w:t>
                    </w:r>
                    <w:r>
                      <w:rPr>
                        <w:rFonts w:hint="eastAsia"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E71"/>
    <w:rsid w:val="00000ED3"/>
    <w:rsid w:val="00027174"/>
    <w:rsid w:val="00027E0D"/>
    <w:rsid w:val="00033EDC"/>
    <w:rsid w:val="000407D9"/>
    <w:rsid w:val="00063D54"/>
    <w:rsid w:val="00075B8E"/>
    <w:rsid w:val="000C49CF"/>
    <w:rsid w:val="000C7096"/>
    <w:rsid w:val="000E318B"/>
    <w:rsid w:val="000E6F45"/>
    <w:rsid w:val="000F3081"/>
    <w:rsid w:val="00127E95"/>
    <w:rsid w:val="00150678"/>
    <w:rsid w:val="00150C96"/>
    <w:rsid w:val="00150F4F"/>
    <w:rsid w:val="00151B9A"/>
    <w:rsid w:val="00155909"/>
    <w:rsid w:val="001C28D1"/>
    <w:rsid w:val="001C2F20"/>
    <w:rsid w:val="001F7011"/>
    <w:rsid w:val="00213409"/>
    <w:rsid w:val="00214DA8"/>
    <w:rsid w:val="0022732B"/>
    <w:rsid w:val="00235585"/>
    <w:rsid w:val="00236DD8"/>
    <w:rsid w:val="00240523"/>
    <w:rsid w:val="0024666F"/>
    <w:rsid w:val="00253749"/>
    <w:rsid w:val="002567D5"/>
    <w:rsid w:val="00260CA0"/>
    <w:rsid w:val="002624BD"/>
    <w:rsid w:val="0026281B"/>
    <w:rsid w:val="00287ACA"/>
    <w:rsid w:val="00287C62"/>
    <w:rsid w:val="002B04FB"/>
    <w:rsid w:val="002C0F38"/>
    <w:rsid w:val="00326DA3"/>
    <w:rsid w:val="00327AE6"/>
    <w:rsid w:val="003369AD"/>
    <w:rsid w:val="00342EB9"/>
    <w:rsid w:val="00347A00"/>
    <w:rsid w:val="00363196"/>
    <w:rsid w:val="003717F2"/>
    <w:rsid w:val="003945AF"/>
    <w:rsid w:val="003949FA"/>
    <w:rsid w:val="003D35AE"/>
    <w:rsid w:val="003E22C5"/>
    <w:rsid w:val="00410E5C"/>
    <w:rsid w:val="00416326"/>
    <w:rsid w:val="00433944"/>
    <w:rsid w:val="004500CD"/>
    <w:rsid w:val="00452014"/>
    <w:rsid w:val="00473488"/>
    <w:rsid w:val="004831FC"/>
    <w:rsid w:val="004B70AE"/>
    <w:rsid w:val="004C303F"/>
    <w:rsid w:val="004C6E6D"/>
    <w:rsid w:val="004C6FED"/>
    <w:rsid w:val="004E0431"/>
    <w:rsid w:val="00515A10"/>
    <w:rsid w:val="0052541B"/>
    <w:rsid w:val="00547DBE"/>
    <w:rsid w:val="00560185"/>
    <w:rsid w:val="005862FB"/>
    <w:rsid w:val="00586554"/>
    <w:rsid w:val="005915C4"/>
    <w:rsid w:val="005D3C8D"/>
    <w:rsid w:val="005E5B36"/>
    <w:rsid w:val="00612811"/>
    <w:rsid w:val="00616481"/>
    <w:rsid w:val="006401B0"/>
    <w:rsid w:val="0065051C"/>
    <w:rsid w:val="00672276"/>
    <w:rsid w:val="00692234"/>
    <w:rsid w:val="006A5E41"/>
    <w:rsid w:val="006B1BE1"/>
    <w:rsid w:val="006C0822"/>
    <w:rsid w:val="006E38F3"/>
    <w:rsid w:val="00765F1E"/>
    <w:rsid w:val="00771BAA"/>
    <w:rsid w:val="00786B2C"/>
    <w:rsid w:val="007B3B14"/>
    <w:rsid w:val="007C253E"/>
    <w:rsid w:val="007D07CC"/>
    <w:rsid w:val="007D4A92"/>
    <w:rsid w:val="007E72DA"/>
    <w:rsid w:val="007E7764"/>
    <w:rsid w:val="007F0D54"/>
    <w:rsid w:val="007F273B"/>
    <w:rsid w:val="007F5BBC"/>
    <w:rsid w:val="00817C8A"/>
    <w:rsid w:val="00826D2A"/>
    <w:rsid w:val="008366CB"/>
    <w:rsid w:val="00836D29"/>
    <w:rsid w:val="00837DE9"/>
    <w:rsid w:val="008B51A0"/>
    <w:rsid w:val="008C4B8F"/>
    <w:rsid w:val="008D230F"/>
    <w:rsid w:val="008E0EE0"/>
    <w:rsid w:val="009239B4"/>
    <w:rsid w:val="00931337"/>
    <w:rsid w:val="00931E65"/>
    <w:rsid w:val="009525D6"/>
    <w:rsid w:val="00995EDF"/>
    <w:rsid w:val="009B27FC"/>
    <w:rsid w:val="009B6B3F"/>
    <w:rsid w:val="009D4E65"/>
    <w:rsid w:val="009E0060"/>
    <w:rsid w:val="009E2C98"/>
    <w:rsid w:val="00A0248B"/>
    <w:rsid w:val="00A05E10"/>
    <w:rsid w:val="00A25551"/>
    <w:rsid w:val="00A27B8F"/>
    <w:rsid w:val="00A33BA5"/>
    <w:rsid w:val="00A342B1"/>
    <w:rsid w:val="00A34ACD"/>
    <w:rsid w:val="00A40981"/>
    <w:rsid w:val="00A47429"/>
    <w:rsid w:val="00A74134"/>
    <w:rsid w:val="00AA7C48"/>
    <w:rsid w:val="00AB56AD"/>
    <w:rsid w:val="00AC1ECB"/>
    <w:rsid w:val="00AE4F94"/>
    <w:rsid w:val="00AE58F8"/>
    <w:rsid w:val="00B5666F"/>
    <w:rsid w:val="00B60EC6"/>
    <w:rsid w:val="00BA1E2D"/>
    <w:rsid w:val="00BA7743"/>
    <w:rsid w:val="00BC0781"/>
    <w:rsid w:val="00BC4ADA"/>
    <w:rsid w:val="00BD4497"/>
    <w:rsid w:val="00BD61BD"/>
    <w:rsid w:val="00BE4FB0"/>
    <w:rsid w:val="00BF2F3E"/>
    <w:rsid w:val="00C04B94"/>
    <w:rsid w:val="00C10B4E"/>
    <w:rsid w:val="00C2089A"/>
    <w:rsid w:val="00C20C82"/>
    <w:rsid w:val="00C468AA"/>
    <w:rsid w:val="00C52A0F"/>
    <w:rsid w:val="00C60CCB"/>
    <w:rsid w:val="00C72C82"/>
    <w:rsid w:val="00C90537"/>
    <w:rsid w:val="00C970DB"/>
    <w:rsid w:val="00CB1D94"/>
    <w:rsid w:val="00CC320F"/>
    <w:rsid w:val="00CE2FCC"/>
    <w:rsid w:val="00CE4E71"/>
    <w:rsid w:val="00CF29A0"/>
    <w:rsid w:val="00CF3791"/>
    <w:rsid w:val="00D00268"/>
    <w:rsid w:val="00D37147"/>
    <w:rsid w:val="00D45F53"/>
    <w:rsid w:val="00D62089"/>
    <w:rsid w:val="00D64EC6"/>
    <w:rsid w:val="00D66E50"/>
    <w:rsid w:val="00D72365"/>
    <w:rsid w:val="00DA7FD4"/>
    <w:rsid w:val="00DF7615"/>
    <w:rsid w:val="00E02F8B"/>
    <w:rsid w:val="00E24C25"/>
    <w:rsid w:val="00E37B17"/>
    <w:rsid w:val="00E61B6A"/>
    <w:rsid w:val="00E64718"/>
    <w:rsid w:val="00E75A5E"/>
    <w:rsid w:val="00E770B5"/>
    <w:rsid w:val="00EB10D0"/>
    <w:rsid w:val="00EB7619"/>
    <w:rsid w:val="00EF5C84"/>
    <w:rsid w:val="00F11C85"/>
    <w:rsid w:val="00F213CD"/>
    <w:rsid w:val="00F3101E"/>
    <w:rsid w:val="00F34B84"/>
    <w:rsid w:val="00F4564D"/>
    <w:rsid w:val="00F45E49"/>
    <w:rsid w:val="00FA00E1"/>
    <w:rsid w:val="00FA31CF"/>
    <w:rsid w:val="00FB695E"/>
    <w:rsid w:val="00FC163A"/>
    <w:rsid w:val="00FD2D2F"/>
    <w:rsid w:val="00FF4620"/>
    <w:rsid w:val="029101B2"/>
    <w:rsid w:val="063208FA"/>
    <w:rsid w:val="0A7902C9"/>
    <w:rsid w:val="0CE24E6B"/>
    <w:rsid w:val="0E1C26C7"/>
    <w:rsid w:val="12266AA3"/>
    <w:rsid w:val="15F31B81"/>
    <w:rsid w:val="181A19C7"/>
    <w:rsid w:val="1D0976A1"/>
    <w:rsid w:val="20EB2BBB"/>
    <w:rsid w:val="21970B90"/>
    <w:rsid w:val="28C156C4"/>
    <w:rsid w:val="306A3DF4"/>
    <w:rsid w:val="383C554F"/>
    <w:rsid w:val="39B42F74"/>
    <w:rsid w:val="3A1A2811"/>
    <w:rsid w:val="3BE464FE"/>
    <w:rsid w:val="3F7C2256"/>
    <w:rsid w:val="3FEF7750"/>
    <w:rsid w:val="40415B7A"/>
    <w:rsid w:val="41661AA6"/>
    <w:rsid w:val="42EA4D53"/>
    <w:rsid w:val="448A084A"/>
    <w:rsid w:val="451B0685"/>
    <w:rsid w:val="4E2D22AC"/>
    <w:rsid w:val="52A84E9C"/>
    <w:rsid w:val="55136DA6"/>
    <w:rsid w:val="587D70F7"/>
    <w:rsid w:val="59915696"/>
    <w:rsid w:val="5C1E3CC1"/>
    <w:rsid w:val="603421F7"/>
    <w:rsid w:val="655F246E"/>
    <w:rsid w:val="686B5D0B"/>
    <w:rsid w:val="6C96440D"/>
    <w:rsid w:val="6E5B4F73"/>
    <w:rsid w:val="70B54C8D"/>
    <w:rsid w:val="72B701E9"/>
    <w:rsid w:val="74D914C8"/>
    <w:rsid w:val="76622606"/>
    <w:rsid w:val="76725044"/>
    <w:rsid w:val="78576384"/>
    <w:rsid w:val="7E7C07B5"/>
    <w:rsid w:val="BFFE1A2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0"/>
      <w:szCs w:val="24"/>
      <w:lang w:val="en-US" w:eastAsia="zh-CN" w:bidi="ar-SA"/>
    </w:rPr>
  </w:style>
  <w:style w:type="character" w:default="1" w:styleId="15">
    <w:name w:val="Default Paragraph Font"/>
    <w:link w:val="16"/>
    <w:semiHidden/>
    <w:qFormat/>
    <w:uiPriority w:val="0"/>
    <w:rPr>
      <w:rFonts w:ascii="Verdana" w:hAnsi="Verdana"/>
      <w:kern w:val="0"/>
      <w:szCs w:val="30"/>
      <w:lang w:eastAsia="en-US"/>
    </w:rPr>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before="156" w:beforeLines="50" w:after="156" w:afterLines="50" w:line="680" w:lineRule="exact"/>
      <w:jc w:val="center"/>
    </w:pPr>
    <w:rPr>
      <w:rFonts w:ascii="方正小标宋简体" w:hAnsi="华文中宋" w:eastAsia="方正小标宋简体"/>
      <w:sz w:val="42"/>
      <w:szCs w:val="40"/>
    </w:rPr>
  </w:style>
  <w:style w:type="paragraph" w:styleId="3">
    <w:name w:val="index 5"/>
    <w:basedOn w:val="1"/>
    <w:next w:val="1"/>
    <w:qFormat/>
    <w:uiPriority w:val="0"/>
    <w:pPr>
      <w:ind w:left="1680"/>
    </w:pPr>
  </w:style>
  <w:style w:type="paragraph" w:styleId="4">
    <w:name w:val="Body Text Indent"/>
    <w:basedOn w:val="1"/>
    <w:qFormat/>
    <w:uiPriority w:val="0"/>
    <w:pPr>
      <w:ind w:firstLine="640" w:firstLineChars="200"/>
    </w:pPr>
    <w:rPr>
      <w:sz w:val="32"/>
    </w:rPr>
  </w:style>
  <w:style w:type="paragraph" w:styleId="5">
    <w:name w:val="Block Text"/>
    <w:basedOn w:val="1"/>
    <w:qFormat/>
    <w:uiPriority w:val="0"/>
    <w:pPr>
      <w:ind w:left="-178" w:leftChars="-85" w:right="-153" w:rightChars="-73" w:firstLine="177" w:firstLineChars="40"/>
      <w:jc w:val="center"/>
    </w:pPr>
    <w:rPr>
      <w:rFonts w:ascii="仿宋_GB2312"/>
      <w:b/>
      <w:bCs/>
      <w:sz w:val="44"/>
    </w:rPr>
  </w:style>
  <w:style w:type="paragraph" w:styleId="6">
    <w:name w:val="Plain Text"/>
    <w:basedOn w:val="1"/>
    <w:qFormat/>
    <w:uiPriority w:val="0"/>
    <w:rPr>
      <w:rFonts w:ascii="宋体" w:hAnsi="Courier New" w:eastAsia="宋体" w:cs="Courier New"/>
      <w:sz w:val="21"/>
      <w:szCs w:val="21"/>
    </w:rPr>
  </w:style>
  <w:style w:type="paragraph" w:styleId="7">
    <w:name w:val="Date"/>
    <w:basedOn w:val="1"/>
    <w:next w:val="1"/>
    <w:qFormat/>
    <w:uiPriority w:val="0"/>
    <w:pPr>
      <w:ind w:left="100" w:leftChars="2500"/>
    </w:pPr>
    <w:rPr>
      <w:rFonts w:eastAsia="方正仿宋简体"/>
      <w:sz w:val="32"/>
    </w:rPr>
  </w:style>
  <w:style w:type="paragraph" w:styleId="8">
    <w:name w:val="Body Text Indent 2"/>
    <w:basedOn w:val="1"/>
    <w:qFormat/>
    <w:uiPriority w:val="0"/>
    <w:pPr>
      <w:ind w:firstLine="600"/>
    </w:pPr>
    <w:rPr>
      <w:rFonts w:eastAsia="楷体_GB2312"/>
      <w:b/>
      <w:bCs/>
    </w:rPr>
  </w:style>
  <w:style w:type="paragraph" w:styleId="9">
    <w:name w:val="Balloon Text"/>
    <w:basedOn w:val="1"/>
    <w:semiHidden/>
    <w:qFormat/>
    <w:uiPriority w:val="0"/>
    <w:rPr>
      <w:sz w:val="18"/>
      <w:szCs w:val="18"/>
    </w:rPr>
  </w:style>
  <w:style w:type="paragraph" w:styleId="10">
    <w:name w:val="footer"/>
    <w:basedOn w:val="1"/>
    <w:next w:val="3"/>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footnote text"/>
    <w:basedOn w:val="1"/>
    <w:qFormat/>
    <w:uiPriority w:val="0"/>
    <w:pPr>
      <w:snapToGrid w:val="0"/>
      <w:jc w:val="left"/>
    </w:pPr>
  </w:style>
  <w:style w:type="paragraph" w:styleId="13">
    <w:name w:val="Body Text Indent 3"/>
    <w:basedOn w:val="1"/>
    <w:qFormat/>
    <w:uiPriority w:val="0"/>
    <w:pPr>
      <w:ind w:firstLine="600"/>
    </w:pPr>
    <w:rPr>
      <w:rFonts w:eastAsia="方正仿宋简体"/>
      <w:sz w:val="32"/>
    </w:rPr>
  </w:style>
  <w:style w:type="paragraph" w:styleId="14">
    <w:name w:val="Normal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6">
    <w:name w:val="Char Char Char Char Char Char1 Char"/>
    <w:basedOn w:val="1"/>
    <w:link w:val="15"/>
    <w:qFormat/>
    <w:uiPriority w:val="0"/>
    <w:pPr>
      <w:widowControl/>
      <w:spacing w:after="160" w:line="240" w:lineRule="exact"/>
      <w:jc w:val="left"/>
    </w:pPr>
    <w:rPr>
      <w:rFonts w:ascii="Verdana" w:hAnsi="Verdana"/>
      <w:kern w:val="0"/>
      <w:szCs w:val="30"/>
      <w:lang w:eastAsia="en-US"/>
    </w:rPr>
  </w:style>
  <w:style w:type="character" w:styleId="17">
    <w:name w:val="page number"/>
    <w:basedOn w:val="15"/>
    <w:qFormat/>
    <w:uiPriority w:val="0"/>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0">
    <w:name w:val=" Char"/>
    <w:basedOn w:val="1"/>
    <w:qFormat/>
    <w:uiPriority w:val="0"/>
    <w:pPr>
      <w:widowControl/>
      <w:spacing w:after="160" w:line="240" w:lineRule="exact"/>
      <w:jc w:val="left"/>
    </w:pPr>
    <w:rPr>
      <w:rFonts w:eastAsia="方正仿宋简体"/>
      <w:sz w:val="32"/>
    </w:rPr>
  </w:style>
  <w:style w:type="paragraph" w:customStyle="1" w:styleId="21">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湖南省就业服务局</Company>
  <Pages>6</Pages>
  <Words>374</Words>
  <Characters>2135</Characters>
  <Lines>17</Lines>
  <Paragraphs>5</Paragraphs>
  <ScaleCrop>false</ScaleCrop>
  <LinksUpToDate>false</LinksUpToDate>
  <CharactersWithSpaces>2504</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2017-07-04T11:33:00Z</dcterms:created>
  <dc:creator>柳新凯</dc:creator>
  <cp:lastModifiedBy>lenovo-jj</cp:lastModifiedBy>
  <cp:lastPrinted>2022-10-13T16:00:00Z</cp:lastPrinted>
  <dcterms:modified xsi:type="dcterms:W3CDTF">2022-10-18T02:34:04Z</dcterms:modified>
  <dc:title>关于五月份全省街道社区劳动保障工作平台建设进展情况的通报</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