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
        </w:tabs>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仿宋_GB2312" w:cs="Times New Roman"/>
          <w:bCs/>
          <w:color w:val="auto"/>
          <w:sz w:val="32"/>
          <w:szCs w:val="32"/>
          <w:lang w:val="en" w:eastAsia="zh-CN"/>
        </w:rPr>
      </w:pPr>
      <w:r>
        <w:rPr>
          <w:rFonts w:hint="default" w:ascii="Times New Roman" w:hAnsi="Times New Roman" w:eastAsia="仿宋_GB2312" w:cs="Times New Roman"/>
          <w:bCs/>
          <w:color w:val="auto"/>
          <w:sz w:val="32"/>
          <w:szCs w:val="32"/>
          <w:lang w:val="en" w:eastAsia="zh-CN"/>
        </w:rPr>
        <w:t>HNPR-2022-11033</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小标宋简体" w:cs="Times New Roman"/>
          <w:color w:val="FF0000"/>
          <w:w w:val="80"/>
          <w:sz w:val="88"/>
          <w:szCs w:val="82"/>
        </w:rPr>
      </w:pPr>
    </w:p>
    <w:p>
      <w:pPr>
        <w:spacing w:line="1600" w:lineRule="exact"/>
        <w:jc w:val="center"/>
        <w:rPr>
          <w:rFonts w:hint="default" w:ascii="Times New Roman" w:hAnsi="Times New Roman" w:eastAsia="方正小标宋简体" w:cs="Times New Roman"/>
          <w:color w:val="FFFFFF" w:themeColor="background1"/>
          <w:spacing w:val="0"/>
          <w:w w:val="80"/>
          <w:position w:val="6"/>
          <w:sz w:val="72"/>
          <w:szCs w:val="72"/>
          <w:lang w:eastAsia="zh-CN"/>
          <w14:textFill>
            <w14:solidFill>
              <w14:schemeClr w14:val="bg1"/>
            </w14:solidFill>
          </w14:textFill>
        </w:rPr>
      </w:pPr>
      <w:r>
        <w:rPr>
          <w:rFonts w:hint="default" w:ascii="Times New Roman" w:hAnsi="Times New Roman" w:eastAsia="方正小标宋简体" w:cs="Times New Roman"/>
          <w:color w:val="FFFFFF" w:themeColor="background1"/>
          <w:spacing w:val="0"/>
          <w:w w:val="80"/>
          <w:position w:val="6"/>
          <w:sz w:val="72"/>
          <w:szCs w:val="72"/>
          <w:shd w:val="clear" w:color="auto" w:fill="auto"/>
          <w14:textFill>
            <w14:solidFill>
              <w14:schemeClr w14:val="bg1"/>
            </w14:solidFill>
          </w14:textFill>
        </w:rPr>
        <w:t>湖南省人力资源和社会保障厅文</w:t>
      </w:r>
      <w:r>
        <w:rPr>
          <w:rFonts w:hint="default" w:ascii="Times New Roman" w:hAnsi="Times New Roman" w:eastAsia="方正小标宋简体" w:cs="Times New Roman"/>
          <w:color w:val="FFFFFF" w:themeColor="background1"/>
          <w:spacing w:val="0"/>
          <w:w w:val="80"/>
          <w:position w:val="6"/>
          <w:sz w:val="72"/>
          <w:szCs w:val="72"/>
          <w:shd w:val="clear" w:color="auto" w:fill="auto"/>
          <w:lang w:eastAsia="zh-CN"/>
          <w14:textFill>
            <w14:solidFill>
              <w14:schemeClr w14:val="bg1"/>
            </w14:solidFill>
          </w14:textFill>
        </w:rPr>
        <w:t>件</w:t>
      </w:r>
    </w:p>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default" w:ascii="Times New Roman" w:hAnsi="Times New Roman" w:eastAsia="方正小标宋简体" w:cs="Times New Roman"/>
          <w:color w:val="FF0000"/>
          <w:spacing w:val="-46"/>
          <w:sz w:val="68"/>
          <w:szCs w:val="68"/>
        </w:rPr>
      </w:pPr>
    </w:p>
    <w:p>
      <w:pPr>
        <w:pStyle w:val="35"/>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rFonts w:hint="default" w:ascii="Times New Roman" w:hAnsi="Times New Roman" w:eastAsia="仿宋_GB2312" w:cs="Times New Roman"/>
          <w:b w:val="0"/>
          <w:bCs/>
          <w:spacing w:val="0"/>
          <w:w w:val="100"/>
          <w:sz w:val="32"/>
          <w:szCs w:val="32"/>
        </w:rPr>
        <w:t>湘人社</w:t>
      </w:r>
      <w:r>
        <w:rPr>
          <w:rFonts w:hint="default" w:ascii="Times New Roman" w:hAnsi="Times New Roman" w:eastAsia="仿宋_GB2312" w:cs="Times New Roman"/>
          <w:b w:val="0"/>
          <w:bCs/>
          <w:spacing w:val="0"/>
          <w:w w:val="100"/>
          <w:sz w:val="32"/>
          <w:szCs w:val="32"/>
          <w:lang w:eastAsia="zh-CN"/>
        </w:rPr>
        <w:t>规</w:t>
      </w:r>
      <w:r>
        <w:rPr>
          <w:rFonts w:hint="default" w:ascii="Times New Roman" w:hAnsi="Times New Roman" w:eastAsia="仿宋_GB2312" w:cs="Times New Roman"/>
          <w:b w:val="0"/>
          <w:bCs/>
          <w:spacing w:val="0"/>
          <w:w w:val="100"/>
          <w:sz w:val="32"/>
          <w:szCs w:val="32"/>
        </w:rPr>
        <w:t>〔20</w:t>
      </w:r>
      <w:r>
        <w:rPr>
          <w:rFonts w:hint="default" w:ascii="Times New Roman" w:hAnsi="Times New Roman" w:eastAsia="仿宋_GB2312" w:cs="Times New Roman"/>
          <w:b w:val="0"/>
          <w:bCs/>
          <w:spacing w:val="0"/>
          <w:w w:val="100"/>
          <w:sz w:val="32"/>
          <w:szCs w:val="32"/>
          <w:lang w:val="en-US" w:eastAsia="zh-CN"/>
        </w:rPr>
        <w:t>22</w:t>
      </w:r>
      <w:r>
        <w:rPr>
          <w:rFonts w:hint="default" w:ascii="Times New Roman" w:hAnsi="Times New Roman" w:eastAsia="仿宋_GB2312" w:cs="Times New Roman"/>
          <w:b w:val="0"/>
          <w:bCs/>
          <w:spacing w:val="0"/>
          <w:w w:val="100"/>
          <w:sz w:val="32"/>
          <w:szCs w:val="32"/>
        </w:rPr>
        <w:t>〕</w:t>
      </w:r>
      <w:r>
        <w:rPr>
          <w:rFonts w:hint="default" w:ascii="Times New Roman" w:hAnsi="Times New Roman" w:eastAsia="仿宋_GB2312" w:cs="Times New Roman"/>
          <w:b w:val="0"/>
          <w:bCs/>
          <w:spacing w:val="0"/>
          <w:w w:val="100"/>
          <w:sz w:val="32"/>
          <w:szCs w:val="32"/>
          <w:lang w:val="en" w:eastAsia="zh-CN"/>
        </w:rPr>
        <w:t>3</w:t>
      </w:r>
      <w:r>
        <w:rPr>
          <w:rFonts w:hint="eastAsia" w:eastAsia="仿宋_GB2312" w:cs="Times New Roman"/>
          <w:b w:val="0"/>
          <w:bCs/>
          <w:spacing w:val="0"/>
          <w:w w:val="100"/>
          <w:sz w:val="32"/>
          <w:szCs w:val="32"/>
          <w:lang w:val="en-US" w:eastAsia="zh-CN"/>
        </w:rPr>
        <w:t>5</w:t>
      </w:r>
      <w:r>
        <w:rPr>
          <w:rFonts w:hint="default" w:ascii="Times New Roman" w:hAnsi="Times New Roman" w:eastAsia="仿宋_GB2312" w:cs="Times New Roman"/>
          <w:b w:val="0"/>
          <w:bCs/>
          <w:spacing w:val="0"/>
          <w:w w:val="100"/>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cs="Times New Roman"/>
          <w:sz w:val="4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121285</wp:posOffset>
                </wp:positionV>
                <wp:extent cx="5905500" cy="0"/>
                <wp:effectExtent l="0" t="0" r="0" b="0"/>
                <wp:wrapNone/>
                <wp:docPr id="1" name="直接连接符 9"/>
                <wp:cNvGraphicFramePr/>
                <a:graphic xmlns:a="http://schemas.openxmlformats.org/drawingml/2006/main">
                  <a:graphicData uri="http://schemas.microsoft.com/office/word/2010/wordprocessingShape">
                    <wps:wsp>
                      <wps:cNvCnPr/>
                      <wps:spPr>
                        <a:xfrm>
                          <a:off x="0" y="0"/>
                          <a:ext cx="5905500" cy="0"/>
                        </a:xfrm>
                        <a:prstGeom prst="line">
                          <a:avLst/>
                        </a:prstGeom>
                        <a:ln w="19050" cap="flat" cmpd="sng">
                          <a:noFill/>
                          <a:prstDash val="solid"/>
                          <a:round/>
                          <a:headEnd type="none" w="med" len="med"/>
                          <a:tailEnd type="none" w="med" len="med"/>
                        </a:ln>
                        <a:effectLst/>
                      </wps:spPr>
                      <wps:bodyPr upright="true"/>
                    </wps:wsp>
                  </a:graphicData>
                </a:graphic>
              </wp:anchor>
            </w:drawing>
          </mc:Choice>
          <mc:Fallback>
            <w:pict>
              <v:line id="直接连接符 9" o:spid="_x0000_s1026" o:spt="20" style="position:absolute;left:0pt;margin-left:-7.1pt;margin-top:9.55pt;height:0pt;width:465pt;z-index:251658240;mso-width-relative:page;mso-height-relative:page;" filled="f" stroked="f" coordsize="21600,21600" o:gfxdata="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yJlTDdQA&#10;AAAJAQAADwAAAAAAAAABACAAAAA4AAAAZHJzL2Rvd25yZXYueG1sUEsBAhQAFAAAAAgAh07iQFBZ&#10;Py/UAQAAiQMAAA4AAAAAAAAAAQAgAAAAOQEAAGRycy9lMm9Eb2MueG1sUEsFBgAAAAAGAAYAWQEA&#10;AH8FAAAAAA==&#10;">
                <v:fill on="f" focussize="0,0"/>
                <v:stroke on="f" weight="1.5pt"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关于发布</w:t>
      </w:r>
      <w:r>
        <w:rPr>
          <w:rFonts w:hint="eastAsia" w:ascii="方正小标宋简体" w:hAnsi="方正小标宋简体" w:eastAsia="方正小标宋简体" w:cs="方正小标宋简体"/>
          <w:sz w:val="44"/>
          <w:szCs w:val="44"/>
        </w:rPr>
        <w:t>湖南省</w:t>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企业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工资指导</w:t>
      </w:r>
      <w:r>
        <w:rPr>
          <w:rFonts w:hint="eastAsia" w:ascii="方正小标宋简体" w:hAnsi="方正小标宋简体" w:eastAsia="方正小标宋简体" w:cs="方正小标宋简体"/>
          <w:sz w:val="44"/>
          <w:szCs w:val="44"/>
          <w:lang w:eastAsia="zh-CN"/>
        </w:rPr>
        <w:t>线的通知</w:t>
      </w:r>
    </w:p>
    <w:p>
      <w:pPr>
        <w:keepNext w:val="0"/>
        <w:keepLines w:val="0"/>
        <w:pageBreakBefore w:val="0"/>
        <w:kinsoku/>
        <w:wordWrap/>
        <w:overflowPunct/>
        <w:topLinePunct w:val="0"/>
        <w:autoSpaceDE/>
        <w:autoSpaceDN/>
        <w:bidi w:val="0"/>
        <w:adjustRightInd/>
        <w:snapToGrid/>
        <w:spacing w:line="592" w:lineRule="exact"/>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各市州人力资源和社会保障局，省直和中央驻湘有关单位，各企业集团：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为加强政府对企业工资分配的宏观指导，促进社会经济和谐发展，</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国家有关</w:t>
      </w:r>
      <w:r>
        <w:rPr>
          <w:rFonts w:hint="default" w:ascii="Times New Roman" w:hAnsi="Times New Roman" w:eastAsia="仿宋_GB2312" w:cs="Times New Roman"/>
          <w:sz w:val="32"/>
          <w:szCs w:val="32"/>
        </w:rPr>
        <w:t>规定</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我省经济社会发展状况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省20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年企业工资指导线。经人力资源和社会保障部审核、省</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政府同意，现予发布。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一、</w:t>
      </w:r>
      <w:r>
        <w:rPr>
          <w:rFonts w:hint="default" w:ascii="Times New Roman" w:hAnsi="Times New Roman" w:eastAsia="黑体" w:cs="Times New Roman"/>
          <w:szCs w:val="32"/>
        </w:rPr>
        <w:t>20</w:t>
      </w:r>
      <w:r>
        <w:rPr>
          <w:rFonts w:hint="eastAsia" w:ascii="Times New Roman" w:hAnsi="Times New Roman" w:eastAsia="黑体" w:cs="Times New Roman"/>
          <w:szCs w:val="32"/>
          <w:lang w:val="en-US" w:eastAsia="zh-CN"/>
        </w:rPr>
        <w:t>22</w:t>
      </w:r>
      <w:r>
        <w:rPr>
          <w:rFonts w:hint="default" w:ascii="Times New Roman" w:hAnsi="Times New Roman" w:eastAsia="黑体" w:cs="Times New Roman"/>
          <w:szCs w:val="32"/>
        </w:rPr>
        <w:t>年我省工资指导线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（一）20</w:t>
      </w:r>
      <w:r>
        <w:rPr>
          <w:rFonts w:hint="eastAsia" w:ascii="Times New Roman" w:hAnsi="Times New Roman" w:eastAsia="仿宋_GB2312" w:cs="Times New Roman"/>
          <w:szCs w:val="32"/>
          <w:lang w:val="en-US" w:eastAsia="zh-CN"/>
        </w:rPr>
        <w:t>22</w:t>
      </w:r>
      <w:r>
        <w:rPr>
          <w:rFonts w:hint="default" w:ascii="Times New Roman" w:hAnsi="Times New Roman" w:eastAsia="仿宋_GB2312" w:cs="Times New Roman"/>
          <w:szCs w:val="32"/>
        </w:rPr>
        <w:t>年我省</w:t>
      </w:r>
      <w:r>
        <w:rPr>
          <w:rFonts w:hint="default" w:ascii="Times New Roman" w:hAnsi="Times New Roman" w:eastAsia="仿宋_GB2312" w:cs="Times New Roman"/>
          <w:szCs w:val="32"/>
          <w:lang w:eastAsia="zh-CN"/>
        </w:rPr>
        <w:t>企业</w:t>
      </w:r>
      <w:r>
        <w:rPr>
          <w:rFonts w:hint="default" w:ascii="Times New Roman" w:hAnsi="Times New Roman" w:eastAsia="仿宋_GB2312" w:cs="Times New Roman"/>
          <w:szCs w:val="32"/>
        </w:rPr>
        <w:t>工资</w:t>
      </w:r>
      <w:r>
        <w:rPr>
          <w:rFonts w:hint="default" w:ascii="Times New Roman" w:hAnsi="Times New Roman" w:eastAsia="仿宋_GB2312" w:cs="Times New Roman"/>
          <w:szCs w:val="32"/>
          <w:lang w:eastAsia="zh-CN"/>
        </w:rPr>
        <w:t>指导线</w:t>
      </w:r>
      <w:r>
        <w:rPr>
          <w:rFonts w:hint="default" w:ascii="Times New Roman" w:hAnsi="Times New Roman" w:eastAsia="仿宋_GB2312" w:cs="Times New Roman"/>
          <w:szCs w:val="32"/>
        </w:rPr>
        <w:t>基准线</w:t>
      </w:r>
      <w:r>
        <w:rPr>
          <w:rFonts w:hint="default" w:ascii="Times New Roman" w:hAnsi="Times New Roman" w:eastAsia="仿宋_GB2312" w:cs="Times New Roman"/>
          <w:szCs w:val="32"/>
          <w:lang w:eastAsia="zh-CN"/>
        </w:rPr>
        <w:t>为</w:t>
      </w:r>
      <w:r>
        <w:rPr>
          <w:rFonts w:hint="eastAsia" w:ascii="Times New Roman" w:hAnsi="Times New Roman" w:eastAsia="仿宋_GB2312" w:cs="Times New Roman"/>
          <w:szCs w:val="32"/>
          <w:lang w:val="en-US" w:eastAsia="zh-CN"/>
        </w:rPr>
        <w:t>6</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（二）20</w:t>
      </w:r>
      <w:r>
        <w:rPr>
          <w:rFonts w:hint="eastAsia" w:ascii="Times New Roman" w:hAnsi="Times New Roman" w:eastAsia="仿宋_GB2312" w:cs="Times New Roman"/>
          <w:szCs w:val="32"/>
          <w:lang w:val="en-US" w:eastAsia="zh-CN"/>
        </w:rPr>
        <w:t>22</w:t>
      </w:r>
      <w:r>
        <w:rPr>
          <w:rFonts w:hint="default" w:ascii="Times New Roman" w:hAnsi="Times New Roman" w:eastAsia="仿宋_GB2312" w:cs="Times New Roman"/>
          <w:szCs w:val="32"/>
        </w:rPr>
        <w:t>年我省</w:t>
      </w:r>
      <w:r>
        <w:rPr>
          <w:rFonts w:hint="default" w:ascii="Times New Roman" w:hAnsi="Times New Roman" w:eastAsia="仿宋_GB2312" w:cs="Times New Roman"/>
          <w:szCs w:val="32"/>
          <w:lang w:eastAsia="zh-CN"/>
        </w:rPr>
        <w:t>企业</w:t>
      </w:r>
      <w:r>
        <w:rPr>
          <w:rFonts w:hint="default" w:ascii="Times New Roman" w:hAnsi="Times New Roman" w:eastAsia="仿宋_GB2312" w:cs="Times New Roman"/>
          <w:szCs w:val="32"/>
        </w:rPr>
        <w:t>工资</w:t>
      </w:r>
      <w:r>
        <w:rPr>
          <w:rFonts w:hint="default" w:ascii="Times New Roman" w:hAnsi="Times New Roman" w:eastAsia="仿宋_GB2312" w:cs="Times New Roman"/>
          <w:szCs w:val="32"/>
          <w:lang w:eastAsia="zh-CN"/>
        </w:rPr>
        <w:t>指导线</w:t>
      </w:r>
      <w:r>
        <w:rPr>
          <w:rFonts w:hint="default" w:ascii="Times New Roman" w:hAnsi="Times New Roman" w:eastAsia="仿宋_GB2312" w:cs="Times New Roman"/>
          <w:szCs w:val="32"/>
        </w:rPr>
        <w:t>下线</w:t>
      </w:r>
      <w:r>
        <w:rPr>
          <w:rFonts w:hint="default" w:ascii="Times New Roman" w:hAnsi="Times New Roman" w:eastAsia="仿宋_GB2312" w:cs="Times New Roman"/>
          <w:szCs w:val="32"/>
          <w:lang w:eastAsia="zh-CN"/>
        </w:rPr>
        <w:t>为</w:t>
      </w:r>
      <w:r>
        <w:rPr>
          <w:rFonts w:hint="eastAsia" w:ascii="Times New Roman" w:hAnsi="Times New Roman" w:eastAsia="仿宋_GB2312" w:cs="Times New Roman"/>
          <w:szCs w:val="32"/>
          <w:lang w:val="en-US" w:eastAsia="zh-CN"/>
        </w:rPr>
        <w:t>1</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（三）</w:t>
      </w:r>
      <w:r>
        <w:rPr>
          <w:rFonts w:hint="default" w:ascii="Times New Roman" w:hAnsi="Times New Roman" w:eastAsia="仿宋_GB2312" w:cs="Times New Roman"/>
          <w:szCs w:val="32"/>
        </w:rPr>
        <w:t>20</w:t>
      </w:r>
      <w:r>
        <w:rPr>
          <w:rFonts w:hint="eastAsia" w:ascii="Times New Roman" w:hAnsi="Times New Roman" w:eastAsia="仿宋_GB2312" w:cs="Times New Roman"/>
          <w:szCs w:val="32"/>
          <w:lang w:val="en-US" w:eastAsia="zh-CN"/>
        </w:rPr>
        <w:t>22</w:t>
      </w:r>
      <w:r>
        <w:rPr>
          <w:rFonts w:hint="default" w:ascii="Times New Roman" w:hAnsi="Times New Roman" w:eastAsia="仿宋_GB2312" w:cs="Times New Roman"/>
          <w:szCs w:val="32"/>
        </w:rPr>
        <w:t>年我省</w:t>
      </w:r>
      <w:r>
        <w:rPr>
          <w:rFonts w:hint="default" w:ascii="Times New Roman" w:hAnsi="Times New Roman" w:eastAsia="仿宋_GB2312" w:cs="Times New Roman"/>
          <w:szCs w:val="32"/>
          <w:lang w:eastAsia="zh-CN"/>
        </w:rPr>
        <w:t>企业</w:t>
      </w:r>
      <w:r>
        <w:rPr>
          <w:rFonts w:hint="default" w:ascii="Times New Roman" w:hAnsi="Times New Roman" w:eastAsia="仿宋_GB2312" w:cs="Times New Roman"/>
          <w:szCs w:val="32"/>
        </w:rPr>
        <w:t>工资</w:t>
      </w:r>
      <w:r>
        <w:rPr>
          <w:rFonts w:hint="default" w:ascii="Times New Roman" w:hAnsi="Times New Roman" w:eastAsia="仿宋_GB2312" w:cs="Times New Roman"/>
          <w:szCs w:val="32"/>
          <w:lang w:eastAsia="zh-CN"/>
        </w:rPr>
        <w:t>指导线上线为</w:t>
      </w:r>
      <w:r>
        <w:rPr>
          <w:rFonts w:hint="default" w:ascii="Times New Roman" w:hAnsi="Times New Roman" w:eastAsia="仿宋_GB2312" w:cs="Times New Roman"/>
          <w:szCs w:val="32"/>
          <w:lang w:val="en-US" w:eastAsia="zh-CN"/>
        </w:rPr>
        <w:t>1</w:t>
      </w:r>
      <w:r>
        <w:rPr>
          <w:rFonts w:hint="eastAsia" w:ascii="Times New Roman" w:hAnsi="Times New Roman" w:eastAsia="仿宋_GB2312" w:cs="Times New Roman"/>
          <w:szCs w:val="32"/>
          <w:lang w:val="en-US" w:eastAsia="zh-CN"/>
        </w:rPr>
        <w:t>0</w:t>
      </w:r>
      <w:r>
        <w:rPr>
          <w:rFonts w:hint="default" w:ascii="Times New Roman" w:hAnsi="Times New Roman" w:eastAsia="仿宋_GB2312" w:cs="Times New Roman"/>
          <w:szCs w:val="32"/>
          <w:lang w:val="en-US" w:eastAsia="zh-CN"/>
        </w:rPr>
        <w:t>%</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二</w:t>
      </w:r>
      <w:r>
        <w:rPr>
          <w:rFonts w:hint="default" w:ascii="Times New Roman" w:hAnsi="Times New Roman" w:eastAsia="黑体" w:cs="Times New Roman"/>
          <w:szCs w:val="32"/>
        </w:rPr>
        <w:t>、工资指导线执行范围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20</w:t>
      </w:r>
      <w:r>
        <w:rPr>
          <w:rFonts w:hint="eastAsia" w:ascii="Times New Roman" w:hAnsi="Times New Roman" w:eastAsia="仿宋_GB2312" w:cs="Times New Roman"/>
          <w:szCs w:val="32"/>
          <w:lang w:val="en-US" w:eastAsia="zh-CN"/>
        </w:rPr>
        <w:t>22</w:t>
      </w:r>
      <w:r>
        <w:rPr>
          <w:rFonts w:hint="default" w:ascii="Times New Roman" w:hAnsi="Times New Roman" w:eastAsia="仿宋_GB2312" w:cs="Times New Roman"/>
          <w:szCs w:val="32"/>
        </w:rPr>
        <w:t>年工资指导线适用于我省城镇各类企业和按照企业经营方式进行经营性活动的各类机构、团体。</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（一）对经济效益比上年有较大增长幅度或扭亏成效显著的企业，可在工资指导线的基准线和上线区间内协商确定工资增长幅度。</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（二）现有工资水平已超过所在地在岗职工平均工资</w:t>
      </w:r>
      <w:r>
        <w:rPr>
          <w:rFonts w:hint="default" w:ascii="Times New Roman" w:hAnsi="Times New Roman" w:eastAsia="仿宋_GB2312" w:cs="Times New Roman"/>
          <w:szCs w:val="32"/>
          <w:lang w:val="en-US" w:eastAsia="zh-CN"/>
        </w:rPr>
        <w:t>2倍的企业和</w:t>
      </w:r>
      <w:r>
        <w:rPr>
          <w:rFonts w:hint="default" w:ascii="Times New Roman" w:hAnsi="Times New Roman" w:eastAsia="仿宋_GB2312" w:cs="Times New Roman"/>
          <w:szCs w:val="32"/>
        </w:rPr>
        <w:t>经济效益</w:t>
      </w:r>
      <w:r>
        <w:rPr>
          <w:rFonts w:hint="default" w:ascii="Times New Roman" w:hAnsi="Times New Roman" w:eastAsia="仿宋_GB2312" w:cs="Times New Roman"/>
          <w:szCs w:val="32"/>
          <w:lang w:eastAsia="zh-CN"/>
        </w:rPr>
        <w:t>比上年增长幅度较小</w:t>
      </w:r>
      <w:r>
        <w:rPr>
          <w:rFonts w:hint="default" w:ascii="Times New Roman" w:hAnsi="Times New Roman" w:eastAsia="仿宋_GB2312" w:cs="Times New Roman"/>
          <w:szCs w:val="32"/>
        </w:rPr>
        <w:t>的企业</w:t>
      </w:r>
      <w:r>
        <w:rPr>
          <w:rFonts w:hint="default" w:ascii="Times New Roman" w:hAnsi="Times New Roman" w:eastAsia="仿宋_GB2312" w:cs="Times New Roman"/>
          <w:szCs w:val="32"/>
          <w:lang w:val="en-US" w:eastAsia="zh-CN"/>
        </w:rPr>
        <w:t>，</w:t>
      </w:r>
      <w:r>
        <w:rPr>
          <w:rFonts w:hint="default" w:ascii="Times New Roman" w:hAnsi="Times New Roman" w:eastAsia="仿宋_GB2312" w:cs="Times New Roman"/>
          <w:szCs w:val="32"/>
        </w:rPr>
        <w:t>可</w:t>
      </w:r>
      <w:r>
        <w:rPr>
          <w:rFonts w:hint="default" w:ascii="Times New Roman" w:hAnsi="Times New Roman" w:eastAsia="仿宋_GB2312" w:cs="Times New Roman"/>
          <w:szCs w:val="32"/>
          <w:lang w:eastAsia="zh-CN"/>
        </w:rPr>
        <w:t>在工资指导线的下线与基准线的区间内协商确定</w:t>
      </w:r>
      <w:r>
        <w:rPr>
          <w:rFonts w:hint="default" w:ascii="Times New Roman" w:hAnsi="Times New Roman" w:eastAsia="仿宋_GB2312" w:cs="Times New Roman"/>
          <w:szCs w:val="32"/>
        </w:rPr>
        <w:t>工资增长</w:t>
      </w:r>
      <w:r>
        <w:rPr>
          <w:rFonts w:hint="default" w:ascii="Times New Roman" w:hAnsi="Times New Roman" w:eastAsia="仿宋_GB2312" w:cs="Times New Roman"/>
          <w:szCs w:val="32"/>
          <w:lang w:eastAsia="zh-CN"/>
        </w:rPr>
        <w:t>幅度</w:t>
      </w:r>
      <w:r>
        <w:rPr>
          <w:rFonts w:hint="default" w:ascii="Times New Roman" w:hAnsi="Times New Roman" w:eastAsia="仿宋_GB2312" w:cs="Times New Roman"/>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（三）当年</w:t>
      </w:r>
      <w:r>
        <w:rPr>
          <w:rFonts w:hint="default" w:ascii="Times New Roman" w:hAnsi="Times New Roman" w:eastAsia="仿宋_GB2312" w:cs="Times New Roman"/>
          <w:szCs w:val="32"/>
        </w:rPr>
        <w:t>效益情况与往年持平或略有下降的企业，可结合自身实际参照下线</w:t>
      </w:r>
      <w:r>
        <w:rPr>
          <w:rFonts w:hint="default" w:ascii="Times New Roman" w:hAnsi="Times New Roman" w:eastAsia="仿宋_GB2312" w:cs="Times New Roman"/>
          <w:szCs w:val="32"/>
          <w:lang w:eastAsia="zh-CN"/>
        </w:rPr>
        <w:t>确定</w:t>
      </w:r>
      <w:r>
        <w:rPr>
          <w:rFonts w:hint="default" w:ascii="Times New Roman" w:hAnsi="Times New Roman" w:eastAsia="仿宋_GB2312" w:cs="Times New Roman"/>
          <w:szCs w:val="32"/>
        </w:rPr>
        <w:t>工资增长</w:t>
      </w:r>
      <w:r>
        <w:rPr>
          <w:rFonts w:hint="default" w:ascii="Times New Roman" w:hAnsi="Times New Roman" w:eastAsia="仿宋_GB2312" w:cs="Times New Roman"/>
          <w:szCs w:val="32"/>
          <w:lang w:eastAsia="zh-CN"/>
        </w:rPr>
        <w:t>幅度</w:t>
      </w:r>
      <w:r>
        <w:rPr>
          <w:rFonts w:hint="default" w:ascii="Times New Roman" w:hAnsi="Times New Roman" w:eastAsia="仿宋_GB2312" w:cs="Times New Roman"/>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（四）</w:t>
      </w:r>
      <w:r>
        <w:rPr>
          <w:rFonts w:hint="default" w:ascii="Times New Roman" w:hAnsi="Times New Roman" w:eastAsia="仿宋_GB2312" w:cs="Times New Roman"/>
          <w:szCs w:val="32"/>
        </w:rPr>
        <w:t>对于经营亏损、职工工资发放出现困难的企业，经与工会或职工代表协商，工资可以零增长或负增长，但支付给劳动者的工资不得低于</w:t>
      </w:r>
      <w:r>
        <w:rPr>
          <w:rFonts w:hint="default" w:ascii="Times New Roman" w:hAnsi="Times New Roman" w:eastAsia="仿宋_GB2312" w:cs="Times New Roman"/>
          <w:szCs w:val="32"/>
          <w:lang w:eastAsia="zh-CN"/>
        </w:rPr>
        <w:t>湖南省</w:t>
      </w:r>
      <w:r>
        <w:rPr>
          <w:rFonts w:hint="default" w:ascii="Times New Roman" w:hAnsi="Times New Roman" w:eastAsia="仿宋_GB2312" w:cs="Times New Roman"/>
          <w:szCs w:val="32"/>
        </w:rPr>
        <w:t>最低工资标准。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三</w:t>
      </w:r>
      <w:r>
        <w:rPr>
          <w:rFonts w:hint="default" w:ascii="Times New Roman" w:hAnsi="Times New Roman" w:eastAsia="黑体" w:cs="Times New Roman"/>
          <w:szCs w:val="32"/>
        </w:rPr>
        <w:t>、工作要求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（一）全省各类企业</w:t>
      </w:r>
      <w:r>
        <w:rPr>
          <w:rFonts w:hint="default" w:ascii="Times New Roman" w:hAnsi="Times New Roman" w:eastAsia="仿宋_GB2312" w:cs="Times New Roman"/>
          <w:szCs w:val="32"/>
          <w:lang w:eastAsia="zh-CN"/>
        </w:rPr>
        <w:t>应</w:t>
      </w:r>
      <w:r>
        <w:rPr>
          <w:rFonts w:hint="default" w:ascii="Times New Roman" w:hAnsi="Times New Roman" w:eastAsia="仿宋_GB2312" w:cs="Times New Roman"/>
          <w:szCs w:val="32"/>
        </w:rPr>
        <w:t>建立健全</w:t>
      </w:r>
      <w:r>
        <w:rPr>
          <w:rFonts w:hint="default" w:ascii="Times New Roman" w:hAnsi="Times New Roman" w:eastAsia="仿宋_GB2312" w:cs="Times New Roman"/>
          <w:szCs w:val="32"/>
          <w:lang w:eastAsia="zh-CN"/>
        </w:rPr>
        <w:t>企业</w:t>
      </w:r>
      <w:r>
        <w:rPr>
          <w:rFonts w:hint="default" w:ascii="Times New Roman" w:hAnsi="Times New Roman" w:eastAsia="仿宋_GB2312" w:cs="Times New Roman"/>
          <w:szCs w:val="32"/>
        </w:rPr>
        <w:t>工资决定</w:t>
      </w:r>
      <w:r>
        <w:rPr>
          <w:rFonts w:hint="default" w:ascii="Times New Roman" w:hAnsi="Times New Roman" w:eastAsia="仿宋_GB2312" w:cs="Times New Roman"/>
          <w:szCs w:val="32"/>
          <w:lang w:eastAsia="zh-CN"/>
        </w:rPr>
        <w:t>机制和正常增长机制</w:t>
      </w:r>
      <w:r>
        <w:rPr>
          <w:rFonts w:hint="default" w:ascii="Times New Roman" w:hAnsi="Times New Roman" w:eastAsia="仿宋_GB2312" w:cs="Times New Roman"/>
          <w:szCs w:val="32"/>
        </w:rPr>
        <w:t>，根据本企业经济效益和劳动生产率的具体情况，协商确定20</w:t>
      </w:r>
      <w:r>
        <w:rPr>
          <w:rFonts w:hint="eastAsia" w:ascii="Times New Roman" w:hAnsi="Times New Roman" w:eastAsia="仿宋_GB2312" w:cs="Times New Roman"/>
          <w:szCs w:val="32"/>
          <w:lang w:val="en-US" w:eastAsia="zh-CN"/>
        </w:rPr>
        <w:t>22</w:t>
      </w:r>
      <w:r>
        <w:rPr>
          <w:rFonts w:hint="default" w:ascii="Times New Roman" w:hAnsi="Times New Roman" w:eastAsia="仿宋_GB2312" w:cs="Times New Roman"/>
          <w:szCs w:val="32"/>
        </w:rPr>
        <w:t>年度工资增长比例，合理安排工资增长</w:t>
      </w:r>
      <w:r>
        <w:rPr>
          <w:rFonts w:hint="default" w:ascii="Times New Roman" w:hAnsi="Times New Roman" w:eastAsia="仿宋_GB2312" w:cs="Times New Roman"/>
          <w:szCs w:val="32"/>
          <w:lang w:val="en-US" w:eastAsia="zh-CN"/>
        </w:rPr>
        <w:t>，着力提高工资水平偏低、工资增长缓慢的普通职工，特别是生产一线及技术工人岗位人员工资水平。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国有企业（含国有独资和国有控股企业，下同）应按照国有企业工资决定机制改革的有关规定编制工资总额预算方案，在工资监管部门核准或备案的工资总额预算内，通过与工会开展工资集体协商，合理确定本企业20</w:t>
      </w:r>
      <w:r>
        <w:rPr>
          <w:rFonts w:hint="eastAsia" w:ascii="Times New Roman" w:hAnsi="Times New Roman" w:eastAsia="仿宋_GB2312" w:cs="Times New Roman"/>
          <w:szCs w:val="32"/>
          <w:lang w:val="en-US" w:eastAsia="zh-CN"/>
        </w:rPr>
        <w:t>22</w:t>
      </w:r>
      <w:r>
        <w:rPr>
          <w:rFonts w:hint="default" w:ascii="Times New Roman" w:hAnsi="Times New Roman" w:eastAsia="仿宋_GB2312" w:cs="Times New Roman"/>
          <w:szCs w:val="32"/>
        </w:rPr>
        <w:t>年度的职工工资增长幅度和工资水平。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非国有企业应</w:t>
      </w:r>
      <w:r>
        <w:rPr>
          <w:rFonts w:hint="eastAsia" w:ascii="Times New Roman" w:hAnsi="Times New Roman" w:eastAsia="仿宋_GB2312" w:cs="Times New Roman"/>
          <w:szCs w:val="32"/>
          <w:lang w:eastAsia="zh-CN"/>
        </w:rPr>
        <w:t>按照</w:t>
      </w:r>
      <w:r>
        <w:rPr>
          <w:rFonts w:hint="default" w:ascii="Times New Roman" w:hAnsi="Times New Roman" w:eastAsia="仿宋_GB2312" w:cs="Times New Roman"/>
          <w:szCs w:val="32"/>
        </w:rPr>
        <w:t>劳动报酬增长与劳动生产率提高同步的要求，积极主动地与工会或职工协商代表开展工资集体协商，依据工资指导线合理确定本企业20</w:t>
      </w:r>
      <w:r>
        <w:rPr>
          <w:rFonts w:hint="eastAsia" w:ascii="Times New Roman" w:hAnsi="Times New Roman" w:eastAsia="仿宋_GB2312" w:cs="Times New Roman"/>
          <w:szCs w:val="32"/>
          <w:lang w:val="en-US" w:eastAsia="zh-CN"/>
        </w:rPr>
        <w:t>22</w:t>
      </w:r>
      <w:r>
        <w:rPr>
          <w:rFonts w:hint="default" w:ascii="Times New Roman" w:hAnsi="Times New Roman" w:eastAsia="仿宋_GB2312" w:cs="Times New Roman"/>
          <w:szCs w:val="32"/>
        </w:rPr>
        <w:t>年度的职工工资增长幅度和工资水平。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二</w:t>
      </w:r>
      <w:r>
        <w:rPr>
          <w:rFonts w:hint="default" w:ascii="Times New Roman" w:hAnsi="Times New Roman" w:eastAsia="仿宋_GB2312" w:cs="Times New Roman"/>
          <w:szCs w:val="32"/>
        </w:rPr>
        <w:t>）各级人力资源社会保障行政部门要按规定做好国有企业工资总额执行结果的备案工作，加大对工资指导线和《</w:t>
      </w:r>
      <w:r>
        <w:rPr>
          <w:rFonts w:hint="default" w:ascii="Times New Roman" w:hAnsi="Times New Roman" w:eastAsia="仿宋_GB2312" w:cs="Times New Roman"/>
          <w:szCs w:val="32"/>
          <w:lang w:eastAsia="zh-CN"/>
        </w:rPr>
        <w:t>湖南</w:t>
      </w:r>
      <w:r>
        <w:rPr>
          <w:rFonts w:hint="default" w:ascii="Times New Roman" w:hAnsi="Times New Roman" w:eastAsia="仿宋_GB2312" w:cs="Times New Roman"/>
          <w:szCs w:val="32"/>
        </w:rPr>
        <w:t>省企业工资集体协商条例》的宣传力度，加强对</w:t>
      </w:r>
      <w:r>
        <w:rPr>
          <w:rFonts w:hint="eastAsia" w:ascii="Times New Roman" w:hAnsi="Times New Roman" w:eastAsia="仿宋_GB2312" w:cs="Times New Roman"/>
          <w:szCs w:val="32"/>
          <w:lang w:eastAsia="zh-CN"/>
        </w:rPr>
        <w:t>国有</w:t>
      </w:r>
      <w:r>
        <w:rPr>
          <w:rFonts w:hint="default" w:ascii="Times New Roman" w:hAnsi="Times New Roman" w:eastAsia="仿宋_GB2312" w:cs="Times New Roman"/>
          <w:szCs w:val="32"/>
        </w:rPr>
        <w:t>企业</w:t>
      </w:r>
      <w:r>
        <w:rPr>
          <w:rFonts w:hint="eastAsia" w:ascii="Times New Roman" w:hAnsi="Times New Roman" w:eastAsia="仿宋_GB2312" w:cs="Times New Roman"/>
          <w:szCs w:val="32"/>
          <w:lang w:eastAsia="zh-CN"/>
        </w:rPr>
        <w:t>内外收入</w:t>
      </w:r>
      <w:r>
        <w:rPr>
          <w:rFonts w:hint="default" w:ascii="Times New Roman" w:hAnsi="Times New Roman" w:eastAsia="仿宋_GB2312" w:cs="Times New Roman"/>
          <w:szCs w:val="32"/>
        </w:rPr>
        <w:t>执行情况的监督检查，进一步发挥工资指导线的宏观调控作用，切实增强工资指导线的实施效果和社会影响力，使各类企业通过开展工资集体协商，合理确定20</w:t>
      </w:r>
      <w:r>
        <w:rPr>
          <w:rFonts w:hint="eastAsia" w:ascii="Times New Roman" w:hAnsi="Times New Roman" w:eastAsia="仿宋_GB2312" w:cs="Times New Roman"/>
          <w:szCs w:val="32"/>
          <w:lang w:val="en-US" w:eastAsia="zh-CN"/>
        </w:rPr>
        <w:t>22</w:t>
      </w:r>
      <w:r>
        <w:rPr>
          <w:rFonts w:hint="default" w:ascii="Times New Roman" w:hAnsi="Times New Roman" w:eastAsia="仿宋_GB2312" w:cs="Times New Roman"/>
          <w:szCs w:val="32"/>
        </w:rPr>
        <w:t>年工资增长幅度和工资水平，推动经济社会发展。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小标宋简体" w:cs="Times New Roman"/>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小标宋简体"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ind w:firstLine="3520" w:firstLineChars="1100"/>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湖南省人力资源和社会保障厅</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20</w:t>
      </w:r>
      <w:r>
        <w:rPr>
          <w:rFonts w:hint="eastAsia" w:ascii="Times New Roman" w:hAnsi="Times New Roman" w:eastAsia="仿宋_GB2312" w:cs="Times New Roman"/>
          <w:szCs w:val="32"/>
          <w:lang w:val="en-US" w:eastAsia="zh-CN"/>
        </w:rPr>
        <w:t>22</w:t>
      </w:r>
      <w:r>
        <w:rPr>
          <w:rFonts w:hint="default" w:ascii="Times New Roman" w:hAnsi="Times New Roman" w:eastAsia="仿宋_GB2312" w:cs="Times New Roman"/>
          <w:szCs w:val="32"/>
        </w:rPr>
        <w:t>年</w:t>
      </w:r>
      <w:r>
        <w:rPr>
          <w:rFonts w:hint="eastAsia" w:ascii="Times New Roman" w:hAnsi="Times New Roman" w:eastAsia="仿宋_GB2312" w:cs="Times New Roman"/>
          <w:szCs w:val="32"/>
          <w:lang w:val="en-US" w:eastAsia="zh-CN"/>
        </w:rPr>
        <w:t>9</w:t>
      </w:r>
      <w:r>
        <w:rPr>
          <w:rFonts w:hint="default" w:ascii="Times New Roman" w:hAnsi="Times New Roman" w:eastAsia="仿宋_GB2312" w:cs="Times New Roman"/>
          <w:szCs w:val="32"/>
        </w:rPr>
        <w:t>月</w:t>
      </w:r>
      <w:r>
        <w:rPr>
          <w:rFonts w:hint="eastAsia" w:ascii="Times New Roman" w:hAnsi="Times New Roman" w:eastAsia="仿宋_GB2312" w:cs="Times New Roman"/>
          <w:szCs w:val="32"/>
          <w:lang w:val="en-US" w:eastAsia="zh-CN"/>
        </w:rPr>
        <w:t>23</w:t>
      </w:r>
      <w:r>
        <w:rPr>
          <w:rFonts w:hint="default" w:ascii="Times New Roman" w:hAnsi="Times New Roman" w:eastAsia="仿宋_GB2312" w:cs="Times New Roman"/>
          <w:szCs w:val="32"/>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小标宋简体"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eastAsia" w:ascii="Times New Roman" w:hAnsi="Times New Roman" w:eastAsia="仿宋_GB2312" w:cs="Times New Roman"/>
          <w:szCs w:val="32"/>
          <w:lang w:eastAsia="zh-CN"/>
        </w:rPr>
      </w:pPr>
      <w:r>
        <w:rPr>
          <w:rFonts w:hint="eastAsia" w:ascii="Times New Roman" w:hAnsi="Times New Roman" w:eastAsia="仿宋_GB2312" w:cs="Times New Roman"/>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eastAsia" w:ascii="Times New Roman" w:hAnsi="Times New Roman" w:eastAsia="仿宋_GB2312" w:cs="Times New Roman"/>
          <w:szCs w:val="32"/>
          <w:lang w:eastAsia="zh-CN"/>
        </w:rPr>
      </w:pPr>
      <w:r>
        <w:rPr>
          <w:rFonts w:hint="eastAsia" w:ascii="Times New Roman" w:hAnsi="Times New Roman" w:eastAsia="仿宋_GB2312" w:cs="Times New Roman"/>
          <w:szCs w:val="32"/>
          <w:lang w:eastAsia="zh-CN"/>
        </w:rPr>
        <w:t>（联系单位：劳动关系处）</w:t>
      </w:r>
    </w:p>
    <w:p>
      <w:pPr>
        <w:keepNext w:val="0"/>
        <w:keepLines w:val="0"/>
        <w:pageBreakBefore w:val="0"/>
        <w:kinsoku/>
        <w:wordWrap/>
        <w:overflowPunct/>
        <w:topLinePunct w:val="0"/>
        <w:autoSpaceDE/>
        <w:autoSpaceDN/>
        <w:bidi w:val="0"/>
        <w:adjustRightInd/>
        <w:snapToGrid/>
        <w:spacing w:line="592" w:lineRule="exact"/>
        <w:rPr>
          <w:rFonts w:hint="default" w:ascii="Times New Roman" w:hAnsi="Times New Roman" w:eastAsia="方正小标宋简体" w:cs="Times New Roman"/>
          <w:szCs w:val="32"/>
        </w:rPr>
      </w:pPr>
    </w:p>
    <w:p>
      <w:pPr>
        <w:keepNext w:val="0"/>
        <w:keepLines w:val="0"/>
        <w:pageBreakBefore w:val="0"/>
        <w:kinsoku/>
        <w:wordWrap/>
        <w:overflowPunct/>
        <w:topLinePunct w:val="0"/>
        <w:autoSpaceDE/>
        <w:autoSpaceDN/>
        <w:bidi w:val="0"/>
        <w:adjustRightInd/>
        <w:snapToGrid/>
        <w:spacing w:line="592" w:lineRule="exact"/>
        <w:rPr>
          <w:rFonts w:hint="default" w:ascii="Times New Roman" w:hAnsi="Times New Roman" w:eastAsia="方正小标宋简体" w:cs="Times New Roman"/>
          <w:szCs w:val="32"/>
        </w:rPr>
      </w:pPr>
    </w:p>
    <w:p>
      <w:pPr>
        <w:keepNext w:val="0"/>
        <w:keepLines w:val="0"/>
        <w:pageBreakBefore w:val="0"/>
        <w:kinsoku/>
        <w:wordWrap/>
        <w:overflowPunct/>
        <w:topLinePunct w:val="0"/>
        <w:autoSpaceDE/>
        <w:autoSpaceDN/>
        <w:bidi w:val="0"/>
        <w:adjustRightInd/>
        <w:snapToGrid/>
        <w:spacing w:line="592" w:lineRule="exact"/>
        <w:rPr>
          <w:rFonts w:hint="default" w:ascii="Times New Roman" w:hAnsi="Times New Roman" w:eastAsia="方正小标宋简体" w:cs="Times New Roman"/>
          <w:szCs w:val="32"/>
        </w:rPr>
      </w:pPr>
    </w:p>
    <w:p>
      <w:pPr>
        <w:keepNext w:val="0"/>
        <w:keepLines w:val="0"/>
        <w:pageBreakBefore w:val="0"/>
        <w:kinsoku/>
        <w:wordWrap/>
        <w:overflowPunct/>
        <w:topLinePunct w:val="0"/>
        <w:autoSpaceDE/>
        <w:autoSpaceDN/>
        <w:bidi w:val="0"/>
        <w:adjustRightInd/>
        <w:snapToGrid/>
        <w:spacing w:line="592" w:lineRule="exact"/>
        <w:rPr>
          <w:rFonts w:hint="default" w:ascii="Times New Roman" w:hAnsi="Times New Roman" w:eastAsia="方正小标宋简体"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textAlignment w:val="baseline"/>
        <w:outlineLvl w:val="9"/>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jc w:val="both"/>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lang w:eastAsia="zh-CN"/>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28"/>
          <w:szCs w:val="28"/>
        </w:rPr>
        <w:t xml:space="preserve">  湖南省人力资源和社会保障厅办公室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default" w:ascii="Times New Roman" w:hAnsi="Times New Roman" w:cs="Times New Roman"/>
          <w:sz w:val="28"/>
          <w:szCs w:val="28"/>
          <w:lang w:val="e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 w:eastAsia="zh-CN"/>
        </w:rPr>
        <w:t>6</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5" w:type="first"/>
      <w:footerReference r:id="rId3" w:type="default"/>
      <w:footerReference r:id="rId4" w:type="even"/>
      <w:pgSz w:w="11906" w:h="16838"/>
      <w:pgMar w:top="2098" w:right="1474" w:bottom="1984" w:left="1587" w:header="850" w:footer="1191" w:gutter="0"/>
      <w:pgNumType w:fmt="numberInDash"/>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方正仿宋_GBK"/>
    <w:panose1 w:val="03000509000000000000"/>
    <w:charset w:val="00"/>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j0gn7ywEAAH4DAAAOAAAA&#10;AAAAAAEAIAAAADQBAABkcnMvZTJvRG9jLnhtbFBLBQYAAAAABgAGAFkBAABxBQAAAAA=&#10;">
              <v:fill on="f" focussize="0,0"/>
              <v:stroke on="f"/>
              <v:imagedata o:title=""/>
              <o:lock v:ext="edit" aspectratio="f"/>
              <v:textbox inset="0mm,0mm,0mm,0mm" style="mso-fit-shape-to-text:t;">
                <w:txbxContent>
                  <w:p>
                    <w:pPr>
                      <w:pStyle w:val="10"/>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r>
      <w:fldChar w:fldCharType="begin"/>
    </w:r>
    <w:r>
      <w:rPr>
        <w:rStyle w:val="19"/>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ascii="宋体" w:hAnsi="宋体" w:eastAsia="宋体" w:cs="宋体"/>
                              <w:sz w:val="28"/>
                              <w:szCs w:val="28"/>
                              <w:lang w:eastAsia="zh-CN"/>
                            </w:rPr>
                          </w:pPr>
                        </w:p>
                      </w:txbxContent>
                    </wps:txbx>
                    <wps:bodyPr vert="horz" wrap="none" lIns="0" tIns="0" rIns="0" bIns="0" anchor="t" anchorCtr="false" upright="false">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UV+7KAQAAfgMAAA4AAAAA&#10;AAAAAQAgAAAANAEAAGRycy9lMm9Eb2MueG1sUEsFBgAAAAAGAAYAWQEAAHAFAAAAAA==&#10;">
              <v:fill on="f" focussize="0,0"/>
              <v:stroke on="f"/>
              <v:imagedata o:title=""/>
              <o:lock v:ext="edit" aspectratio="f"/>
              <v:textbox inset="0mm,0mm,0mm,0mm" style="mso-fit-shape-to-text:t;">
                <w:txbxContent>
                  <w:p>
                    <w:pPr>
                      <w:pStyle w:val="10"/>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hyphenationZone w:val="360"/>
  <w:drawingGridHorizontalSpacing w:val="159"/>
  <w:drawingGridVerticalSpacing w:val="223"/>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80"/>
    <w:rsid w:val="00000852"/>
    <w:rsid w:val="00000AB2"/>
    <w:rsid w:val="00004AED"/>
    <w:rsid w:val="00004F0E"/>
    <w:rsid w:val="0000517D"/>
    <w:rsid w:val="000054D8"/>
    <w:rsid w:val="00006C68"/>
    <w:rsid w:val="00006C83"/>
    <w:rsid w:val="00006E26"/>
    <w:rsid w:val="00007684"/>
    <w:rsid w:val="00007C1F"/>
    <w:rsid w:val="00010074"/>
    <w:rsid w:val="000114A5"/>
    <w:rsid w:val="00012535"/>
    <w:rsid w:val="000130DE"/>
    <w:rsid w:val="0001698F"/>
    <w:rsid w:val="00017B77"/>
    <w:rsid w:val="000201DF"/>
    <w:rsid w:val="00022600"/>
    <w:rsid w:val="00022ECE"/>
    <w:rsid w:val="00022F0F"/>
    <w:rsid w:val="00024470"/>
    <w:rsid w:val="0002474B"/>
    <w:rsid w:val="00027DBB"/>
    <w:rsid w:val="000305EE"/>
    <w:rsid w:val="00031DBD"/>
    <w:rsid w:val="00034A2B"/>
    <w:rsid w:val="00036287"/>
    <w:rsid w:val="0003725B"/>
    <w:rsid w:val="000372E5"/>
    <w:rsid w:val="00040505"/>
    <w:rsid w:val="00040CC9"/>
    <w:rsid w:val="000415B4"/>
    <w:rsid w:val="00041DC2"/>
    <w:rsid w:val="000424F0"/>
    <w:rsid w:val="000431BD"/>
    <w:rsid w:val="000437EC"/>
    <w:rsid w:val="0004411C"/>
    <w:rsid w:val="00047BDF"/>
    <w:rsid w:val="00047C32"/>
    <w:rsid w:val="000500E9"/>
    <w:rsid w:val="000511D9"/>
    <w:rsid w:val="000529F5"/>
    <w:rsid w:val="00053205"/>
    <w:rsid w:val="00053D3D"/>
    <w:rsid w:val="00053DC7"/>
    <w:rsid w:val="00054F37"/>
    <w:rsid w:val="000551FA"/>
    <w:rsid w:val="000568F9"/>
    <w:rsid w:val="00057DC1"/>
    <w:rsid w:val="00060363"/>
    <w:rsid w:val="00060DCF"/>
    <w:rsid w:val="000613A2"/>
    <w:rsid w:val="0006174A"/>
    <w:rsid w:val="00067AAD"/>
    <w:rsid w:val="00073E50"/>
    <w:rsid w:val="00073FCA"/>
    <w:rsid w:val="00075960"/>
    <w:rsid w:val="00080E36"/>
    <w:rsid w:val="00083537"/>
    <w:rsid w:val="0008371A"/>
    <w:rsid w:val="000838BF"/>
    <w:rsid w:val="00084820"/>
    <w:rsid w:val="0008561D"/>
    <w:rsid w:val="0008768D"/>
    <w:rsid w:val="000901DD"/>
    <w:rsid w:val="000913F2"/>
    <w:rsid w:val="000953BB"/>
    <w:rsid w:val="000958AF"/>
    <w:rsid w:val="000A039A"/>
    <w:rsid w:val="000A3766"/>
    <w:rsid w:val="000A3E20"/>
    <w:rsid w:val="000A6639"/>
    <w:rsid w:val="000A7115"/>
    <w:rsid w:val="000B3742"/>
    <w:rsid w:val="000B3ACB"/>
    <w:rsid w:val="000B4D80"/>
    <w:rsid w:val="000B55C5"/>
    <w:rsid w:val="000B5F3A"/>
    <w:rsid w:val="000B6D9B"/>
    <w:rsid w:val="000B7DFE"/>
    <w:rsid w:val="000B7E98"/>
    <w:rsid w:val="000C469C"/>
    <w:rsid w:val="000C7CE1"/>
    <w:rsid w:val="000C7EC9"/>
    <w:rsid w:val="000D1F49"/>
    <w:rsid w:val="000D20E1"/>
    <w:rsid w:val="000D22CE"/>
    <w:rsid w:val="000D38A3"/>
    <w:rsid w:val="000D6022"/>
    <w:rsid w:val="000E01B6"/>
    <w:rsid w:val="000E0501"/>
    <w:rsid w:val="000E151E"/>
    <w:rsid w:val="000E1EC1"/>
    <w:rsid w:val="000E2C7A"/>
    <w:rsid w:val="000E4DD5"/>
    <w:rsid w:val="000E78BC"/>
    <w:rsid w:val="000F073C"/>
    <w:rsid w:val="000F15C4"/>
    <w:rsid w:val="000F411B"/>
    <w:rsid w:val="000F44EF"/>
    <w:rsid w:val="000F4CC4"/>
    <w:rsid w:val="000F791B"/>
    <w:rsid w:val="0010109B"/>
    <w:rsid w:val="001015DB"/>
    <w:rsid w:val="001023A3"/>
    <w:rsid w:val="00103E04"/>
    <w:rsid w:val="00106294"/>
    <w:rsid w:val="0010724C"/>
    <w:rsid w:val="00111B92"/>
    <w:rsid w:val="00112D61"/>
    <w:rsid w:val="0011395A"/>
    <w:rsid w:val="001145CD"/>
    <w:rsid w:val="00115431"/>
    <w:rsid w:val="001157FF"/>
    <w:rsid w:val="00116926"/>
    <w:rsid w:val="00117FF9"/>
    <w:rsid w:val="00122FE3"/>
    <w:rsid w:val="001237BB"/>
    <w:rsid w:val="001350BE"/>
    <w:rsid w:val="00135685"/>
    <w:rsid w:val="00142EAA"/>
    <w:rsid w:val="001441C9"/>
    <w:rsid w:val="00144E07"/>
    <w:rsid w:val="00146A58"/>
    <w:rsid w:val="00147EE5"/>
    <w:rsid w:val="001509C7"/>
    <w:rsid w:val="00150C21"/>
    <w:rsid w:val="001538F0"/>
    <w:rsid w:val="00153BC8"/>
    <w:rsid w:val="0015491A"/>
    <w:rsid w:val="001557A0"/>
    <w:rsid w:val="001569D6"/>
    <w:rsid w:val="0016150D"/>
    <w:rsid w:val="001625B7"/>
    <w:rsid w:val="00165401"/>
    <w:rsid w:val="00167A0E"/>
    <w:rsid w:val="0017029A"/>
    <w:rsid w:val="00170BC2"/>
    <w:rsid w:val="001734F0"/>
    <w:rsid w:val="00176870"/>
    <w:rsid w:val="001777E6"/>
    <w:rsid w:val="0018080C"/>
    <w:rsid w:val="00180AD9"/>
    <w:rsid w:val="001834EB"/>
    <w:rsid w:val="00184586"/>
    <w:rsid w:val="001877A5"/>
    <w:rsid w:val="00190E67"/>
    <w:rsid w:val="00192343"/>
    <w:rsid w:val="00197C1A"/>
    <w:rsid w:val="001A0CA7"/>
    <w:rsid w:val="001A0E89"/>
    <w:rsid w:val="001A100E"/>
    <w:rsid w:val="001A101B"/>
    <w:rsid w:val="001A1104"/>
    <w:rsid w:val="001A70CB"/>
    <w:rsid w:val="001B11A5"/>
    <w:rsid w:val="001B2367"/>
    <w:rsid w:val="001B2A44"/>
    <w:rsid w:val="001B2C14"/>
    <w:rsid w:val="001B630C"/>
    <w:rsid w:val="001C0CEE"/>
    <w:rsid w:val="001C412B"/>
    <w:rsid w:val="001C5252"/>
    <w:rsid w:val="001D3084"/>
    <w:rsid w:val="001D3459"/>
    <w:rsid w:val="001D3EE1"/>
    <w:rsid w:val="001D3F65"/>
    <w:rsid w:val="001D407B"/>
    <w:rsid w:val="001D4510"/>
    <w:rsid w:val="001D52E8"/>
    <w:rsid w:val="001D555D"/>
    <w:rsid w:val="001D7454"/>
    <w:rsid w:val="001D764C"/>
    <w:rsid w:val="001D789A"/>
    <w:rsid w:val="001E15E7"/>
    <w:rsid w:val="001E2D89"/>
    <w:rsid w:val="001E4028"/>
    <w:rsid w:val="001E504B"/>
    <w:rsid w:val="001E5E9B"/>
    <w:rsid w:val="001E6FE5"/>
    <w:rsid w:val="001E7CA6"/>
    <w:rsid w:val="001F057C"/>
    <w:rsid w:val="001F18F9"/>
    <w:rsid w:val="001F2DCE"/>
    <w:rsid w:val="001F5AD8"/>
    <w:rsid w:val="00200125"/>
    <w:rsid w:val="002009A8"/>
    <w:rsid w:val="00202D30"/>
    <w:rsid w:val="0020414B"/>
    <w:rsid w:val="0020586A"/>
    <w:rsid w:val="00205A3D"/>
    <w:rsid w:val="00210A2E"/>
    <w:rsid w:val="00211F97"/>
    <w:rsid w:val="00212BD6"/>
    <w:rsid w:val="00213AF4"/>
    <w:rsid w:val="002225A9"/>
    <w:rsid w:val="00223EA6"/>
    <w:rsid w:val="0022433A"/>
    <w:rsid w:val="002265B4"/>
    <w:rsid w:val="00227766"/>
    <w:rsid w:val="002279B5"/>
    <w:rsid w:val="0023000B"/>
    <w:rsid w:val="002336E2"/>
    <w:rsid w:val="0023688B"/>
    <w:rsid w:val="002368B6"/>
    <w:rsid w:val="00236D84"/>
    <w:rsid w:val="00237760"/>
    <w:rsid w:val="00240157"/>
    <w:rsid w:val="00240BF1"/>
    <w:rsid w:val="00241C6B"/>
    <w:rsid w:val="0024369B"/>
    <w:rsid w:val="00243839"/>
    <w:rsid w:val="00244054"/>
    <w:rsid w:val="0024462A"/>
    <w:rsid w:val="00250805"/>
    <w:rsid w:val="00252B69"/>
    <w:rsid w:val="00253CE9"/>
    <w:rsid w:val="0026055A"/>
    <w:rsid w:val="002617AC"/>
    <w:rsid w:val="002632D3"/>
    <w:rsid w:val="00266E61"/>
    <w:rsid w:val="0026782B"/>
    <w:rsid w:val="00270CFA"/>
    <w:rsid w:val="0027129D"/>
    <w:rsid w:val="002713BE"/>
    <w:rsid w:val="00272416"/>
    <w:rsid w:val="00273344"/>
    <w:rsid w:val="00274683"/>
    <w:rsid w:val="00274A94"/>
    <w:rsid w:val="00275269"/>
    <w:rsid w:val="00275A40"/>
    <w:rsid w:val="0028083A"/>
    <w:rsid w:val="0028156B"/>
    <w:rsid w:val="0028301E"/>
    <w:rsid w:val="00283989"/>
    <w:rsid w:val="002842DC"/>
    <w:rsid w:val="00286712"/>
    <w:rsid w:val="0028678F"/>
    <w:rsid w:val="002871E9"/>
    <w:rsid w:val="00287635"/>
    <w:rsid w:val="00293036"/>
    <w:rsid w:val="00293647"/>
    <w:rsid w:val="00294CEA"/>
    <w:rsid w:val="002953E1"/>
    <w:rsid w:val="00295971"/>
    <w:rsid w:val="0029765D"/>
    <w:rsid w:val="002A1921"/>
    <w:rsid w:val="002A21AD"/>
    <w:rsid w:val="002A25B8"/>
    <w:rsid w:val="002A372B"/>
    <w:rsid w:val="002A3F97"/>
    <w:rsid w:val="002B06D6"/>
    <w:rsid w:val="002B0A6B"/>
    <w:rsid w:val="002B5A86"/>
    <w:rsid w:val="002C01D3"/>
    <w:rsid w:val="002C0B09"/>
    <w:rsid w:val="002C404B"/>
    <w:rsid w:val="002C455F"/>
    <w:rsid w:val="002C4A85"/>
    <w:rsid w:val="002C6656"/>
    <w:rsid w:val="002C6F96"/>
    <w:rsid w:val="002C71B0"/>
    <w:rsid w:val="002D1EE2"/>
    <w:rsid w:val="002D4262"/>
    <w:rsid w:val="002D72AC"/>
    <w:rsid w:val="002E01E2"/>
    <w:rsid w:val="002E10B5"/>
    <w:rsid w:val="002E1E7E"/>
    <w:rsid w:val="002E3050"/>
    <w:rsid w:val="002E3D9F"/>
    <w:rsid w:val="002E5C35"/>
    <w:rsid w:val="002E622D"/>
    <w:rsid w:val="002E6704"/>
    <w:rsid w:val="002E6D3C"/>
    <w:rsid w:val="002E71E8"/>
    <w:rsid w:val="002F0047"/>
    <w:rsid w:val="002F0235"/>
    <w:rsid w:val="002F4DC2"/>
    <w:rsid w:val="00300B5D"/>
    <w:rsid w:val="0030117D"/>
    <w:rsid w:val="00301BC9"/>
    <w:rsid w:val="00302189"/>
    <w:rsid w:val="00302632"/>
    <w:rsid w:val="00302FAF"/>
    <w:rsid w:val="0030340D"/>
    <w:rsid w:val="00305506"/>
    <w:rsid w:val="00305A8A"/>
    <w:rsid w:val="00305FC9"/>
    <w:rsid w:val="00307D8C"/>
    <w:rsid w:val="003115F0"/>
    <w:rsid w:val="00312D04"/>
    <w:rsid w:val="00313306"/>
    <w:rsid w:val="00313CFF"/>
    <w:rsid w:val="00314720"/>
    <w:rsid w:val="003154D2"/>
    <w:rsid w:val="00316E98"/>
    <w:rsid w:val="00317E90"/>
    <w:rsid w:val="003226BE"/>
    <w:rsid w:val="00323786"/>
    <w:rsid w:val="00323A03"/>
    <w:rsid w:val="003257C9"/>
    <w:rsid w:val="0032622C"/>
    <w:rsid w:val="00330B14"/>
    <w:rsid w:val="00332C4E"/>
    <w:rsid w:val="00336CD3"/>
    <w:rsid w:val="0034065A"/>
    <w:rsid w:val="00342E3E"/>
    <w:rsid w:val="003473DE"/>
    <w:rsid w:val="00350AC6"/>
    <w:rsid w:val="00351C13"/>
    <w:rsid w:val="003523C1"/>
    <w:rsid w:val="00352B3A"/>
    <w:rsid w:val="0035460D"/>
    <w:rsid w:val="003548E1"/>
    <w:rsid w:val="00356858"/>
    <w:rsid w:val="00357571"/>
    <w:rsid w:val="00363780"/>
    <w:rsid w:val="00364F0E"/>
    <w:rsid w:val="00365DA0"/>
    <w:rsid w:val="00370C50"/>
    <w:rsid w:val="00375F6C"/>
    <w:rsid w:val="00376EB7"/>
    <w:rsid w:val="00382512"/>
    <w:rsid w:val="00384D21"/>
    <w:rsid w:val="003856B5"/>
    <w:rsid w:val="003873FC"/>
    <w:rsid w:val="0039066F"/>
    <w:rsid w:val="0039101E"/>
    <w:rsid w:val="00392B7B"/>
    <w:rsid w:val="0039794B"/>
    <w:rsid w:val="003A0F9B"/>
    <w:rsid w:val="003A1DB9"/>
    <w:rsid w:val="003A32C9"/>
    <w:rsid w:val="003A4736"/>
    <w:rsid w:val="003A5F65"/>
    <w:rsid w:val="003A7B19"/>
    <w:rsid w:val="003A7B4D"/>
    <w:rsid w:val="003B0A63"/>
    <w:rsid w:val="003B1203"/>
    <w:rsid w:val="003B1298"/>
    <w:rsid w:val="003B2ECA"/>
    <w:rsid w:val="003B41C2"/>
    <w:rsid w:val="003B5FA8"/>
    <w:rsid w:val="003B65C7"/>
    <w:rsid w:val="003C0565"/>
    <w:rsid w:val="003C0CA2"/>
    <w:rsid w:val="003C23ED"/>
    <w:rsid w:val="003C2665"/>
    <w:rsid w:val="003C27E1"/>
    <w:rsid w:val="003C4899"/>
    <w:rsid w:val="003C4954"/>
    <w:rsid w:val="003C6FD0"/>
    <w:rsid w:val="003C729B"/>
    <w:rsid w:val="003C770C"/>
    <w:rsid w:val="003D09E7"/>
    <w:rsid w:val="003D4F27"/>
    <w:rsid w:val="003E276B"/>
    <w:rsid w:val="003E33D1"/>
    <w:rsid w:val="003E39A2"/>
    <w:rsid w:val="003E62BA"/>
    <w:rsid w:val="003E772E"/>
    <w:rsid w:val="003F4D7F"/>
    <w:rsid w:val="003F7AB6"/>
    <w:rsid w:val="00404CBB"/>
    <w:rsid w:val="004056AC"/>
    <w:rsid w:val="004068B6"/>
    <w:rsid w:val="00406FA9"/>
    <w:rsid w:val="00407A08"/>
    <w:rsid w:val="004103AA"/>
    <w:rsid w:val="00410413"/>
    <w:rsid w:val="004111FE"/>
    <w:rsid w:val="00412092"/>
    <w:rsid w:val="00412699"/>
    <w:rsid w:val="00412E25"/>
    <w:rsid w:val="004133F4"/>
    <w:rsid w:val="004137A5"/>
    <w:rsid w:val="00416386"/>
    <w:rsid w:val="004171C3"/>
    <w:rsid w:val="00417380"/>
    <w:rsid w:val="00417A9C"/>
    <w:rsid w:val="00417C07"/>
    <w:rsid w:val="004221E6"/>
    <w:rsid w:val="0042593F"/>
    <w:rsid w:val="00426A2E"/>
    <w:rsid w:val="00430DCC"/>
    <w:rsid w:val="00431419"/>
    <w:rsid w:val="00432E33"/>
    <w:rsid w:val="00434A91"/>
    <w:rsid w:val="00434EAD"/>
    <w:rsid w:val="00437298"/>
    <w:rsid w:val="004423F1"/>
    <w:rsid w:val="00442DCD"/>
    <w:rsid w:val="00444724"/>
    <w:rsid w:val="004478D1"/>
    <w:rsid w:val="00447A29"/>
    <w:rsid w:val="00454BE6"/>
    <w:rsid w:val="00455381"/>
    <w:rsid w:val="0046193A"/>
    <w:rsid w:val="00465CE9"/>
    <w:rsid w:val="00471407"/>
    <w:rsid w:val="00471F2D"/>
    <w:rsid w:val="0047413D"/>
    <w:rsid w:val="00474593"/>
    <w:rsid w:val="00474A36"/>
    <w:rsid w:val="00476452"/>
    <w:rsid w:val="00480635"/>
    <w:rsid w:val="00482220"/>
    <w:rsid w:val="00482F7E"/>
    <w:rsid w:val="00491998"/>
    <w:rsid w:val="00491E4E"/>
    <w:rsid w:val="00492E08"/>
    <w:rsid w:val="004945F5"/>
    <w:rsid w:val="004A07BD"/>
    <w:rsid w:val="004A0F2C"/>
    <w:rsid w:val="004A2432"/>
    <w:rsid w:val="004A3601"/>
    <w:rsid w:val="004A40DE"/>
    <w:rsid w:val="004B2480"/>
    <w:rsid w:val="004B4163"/>
    <w:rsid w:val="004B4BDA"/>
    <w:rsid w:val="004B5076"/>
    <w:rsid w:val="004B50BC"/>
    <w:rsid w:val="004C3960"/>
    <w:rsid w:val="004C49CF"/>
    <w:rsid w:val="004C6E15"/>
    <w:rsid w:val="004D1256"/>
    <w:rsid w:val="004D3DEA"/>
    <w:rsid w:val="004D47B1"/>
    <w:rsid w:val="004D573B"/>
    <w:rsid w:val="004D729E"/>
    <w:rsid w:val="004D7716"/>
    <w:rsid w:val="004E0E79"/>
    <w:rsid w:val="004E3977"/>
    <w:rsid w:val="004E3FE8"/>
    <w:rsid w:val="004E4659"/>
    <w:rsid w:val="004E5BAC"/>
    <w:rsid w:val="004E6F0E"/>
    <w:rsid w:val="004E6F84"/>
    <w:rsid w:val="004F00AF"/>
    <w:rsid w:val="004F2CDA"/>
    <w:rsid w:val="004F5B79"/>
    <w:rsid w:val="004F5B89"/>
    <w:rsid w:val="004F731C"/>
    <w:rsid w:val="004F7FC9"/>
    <w:rsid w:val="00503BBA"/>
    <w:rsid w:val="00506A23"/>
    <w:rsid w:val="00510887"/>
    <w:rsid w:val="00510AEA"/>
    <w:rsid w:val="0051223E"/>
    <w:rsid w:val="005133AC"/>
    <w:rsid w:val="005133DE"/>
    <w:rsid w:val="00513DB1"/>
    <w:rsid w:val="005140BA"/>
    <w:rsid w:val="0051444E"/>
    <w:rsid w:val="0051482E"/>
    <w:rsid w:val="00514AFE"/>
    <w:rsid w:val="00514FBD"/>
    <w:rsid w:val="00515615"/>
    <w:rsid w:val="00516288"/>
    <w:rsid w:val="00517A67"/>
    <w:rsid w:val="00525B4C"/>
    <w:rsid w:val="00525BBA"/>
    <w:rsid w:val="005266DB"/>
    <w:rsid w:val="00526D33"/>
    <w:rsid w:val="00526F86"/>
    <w:rsid w:val="005279FF"/>
    <w:rsid w:val="0053080F"/>
    <w:rsid w:val="00533882"/>
    <w:rsid w:val="00535416"/>
    <w:rsid w:val="0053696D"/>
    <w:rsid w:val="00542B01"/>
    <w:rsid w:val="00543E72"/>
    <w:rsid w:val="00546F13"/>
    <w:rsid w:val="005528F3"/>
    <w:rsid w:val="00552937"/>
    <w:rsid w:val="0055380F"/>
    <w:rsid w:val="0055494F"/>
    <w:rsid w:val="0055674A"/>
    <w:rsid w:val="00561374"/>
    <w:rsid w:val="00561646"/>
    <w:rsid w:val="00562B4E"/>
    <w:rsid w:val="0056779A"/>
    <w:rsid w:val="00573F82"/>
    <w:rsid w:val="0057619F"/>
    <w:rsid w:val="005828B2"/>
    <w:rsid w:val="0058330D"/>
    <w:rsid w:val="00583382"/>
    <w:rsid w:val="00583D9C"/>
    <w:rsid w:val="00585AE7"/>
    <w:rsid w:val="0059075F"/>
    <w:rsid w:val="0059118A"/>
    <w:rsid w:val="005936D9"/>
    <w:rsid w:val="0059448B"/>
    <w:rsid w:val="00597358"/>
    <w:rsid w:val="005A094B"/>
    <w:rsid w:val="005A3FC4"/>
    <w:rsid w:val="005A6051"/>
    <w:rsid w:val="005A728A"/>
    <w:rsid w:val="005B0E60"/>
    <w:rsid w:val="005B7AE9"/>
    <w:rsid w:val="005C0E14"/>
    <w:rsid w:val="005C0E20"/>
    <w:rsid w:val="005C2186"/>
    <w:rsid w:val="005C2D8C"/>
    <w:rsid w:val="005C3439"/>
    <w:rsid w:val="005C386D"/>
    <w:rsid w:val="005C3B9F"/>
    <w:rsid w:val="005C41E2"/>
    <w:rsid w:val="005C41E5"/>
    <w:rsid w:val="005C5144"/>
    <w:rsid w:val="005D109E"/>
    <w:rsid w:val="005D2C24"/>
    <w:rsid w:val="005D3173"/>
    <w:rsid w:val="005E1898"/>
    <w:rsid w:val="005E2052"/>
    <w:rsid w:val="005F04E4"/>
    <w:rsid w:val="005F09D8"/>
    <w:rsid w:val="005F1815"/>
    <w:rsid w:val="005F2F1F"/>
    <w:rsid w:val="005F7A6F"/>
    <w:rsid w:val="0060112A"/>
    <w:rsid w:val="00601ED3"/>
    <w:rsid w:val="00601F63"/>
    <w:rsid w:val="00605D73"/>
    <w:rsid w:val="00606601"/>
    <w:rsid w:val="00606756"/>
    <w:rsid w:val="006067FD"/>
    <w:rsid w:val="00606950"/>
    <w:rsid w:val="006076E2"/>
    <w:rsid w:val="0061131F"/>
    <w:rsid w:val="0061492E"/>
    <w:rsid w:val="00620833"/>
    <w:rsid w:val="00621DF3"/>
    <w:rsid w:val="00622CBE"/>
    <w:rsid w:val="00630E80"/>
    <w:rsid w:val="00632F6A"/>
    <w:rsid w:val="00633A40"/>
    <w:rsid w:val="00633C46"/>
    <w:rsid w:val="0064274B"/>
    <w:rsid w:val="00642771"/>
    <w:rsid w:val="00650D71"/>
    <w:rsid w:val="00651074"/>
    <w:rsid w:val="0065216A"/>
    <w:rsid w:val="006537E4"/>
    <w:rsid w:val="0065486F"/>
    <w:rsid w:val="00655076"/>
    <w:rsid w:val="00655EFA"/>
    <w:rsid w:val="0065796D"/>
    <w:rsid w:val="00657BF3"/>
    <w:rsid w:val="0066261A"/>
    <w:rsid w:val="00665651"/>
    <w:rsid w:val="006700CB"/>
    <w:rsid w:val="006704D4"/>
    <w:rsid w:val="00673113"/>
    <w:rsid w:val="00675453"/>
    <w:rsid w:val="00675A5D"/>
    <w:rsid w:val="00681A1D"/>
    <w:rsid w:val="006863B4"/>
    <w:rsid w:val="006902D3"/>
    <w:rsid w:val="00690EB9"/>
    <w:rsid w:val="00691332"/>
    <w:rsid w:val="00692190"/>
    <w:rsid w:val="00694109"/>
    <w:rsid w:val="00694541"/>
    <w:rsid w:val="00696D4F"/>
    <w:rsid w:val="006A1341"/>
    <w:rsid w:val="006A3B35"/>
    <w:rsid w:val="006A3C45"/>
    <w:rsid w:val="006A4A0E"/>
    <w:rsid w:val="006A4B0C"/>
    <w:rsid w:val="006A647F"/>
    <w:rsid w:val="006B0C08"/>
    <w:rsid w:val="006B0D83"/>
    <w:rsid w:val="006B0E7D"/>
    <w:rsid w:val="006B10AF"/>
    <w:rsid w:val="006B1A30"/>
    <w:rsid w:val="006B74EA"/>
    <w:rsid w:val="006C272B"/>
    <w:rsid w:val="006C4B05"/>
    <w:rsid w:val="006C629A"/>
    <w:rsid w:val="006C7154"/>
    <w:rsid w:val="006D049E"/>
    <w:rsid w:val="006D06E2"/>
    <w:rsid w:val="006D1C60"/>
    <w:rsid w:val="006D33F2"/>
    <w:rsid w:val="006D3BAB"/>
    <w:rsid w:val="006E020E"/>
    <w:rsid w:val="006E02C2"/>
    <w:rsid w:val="006E3197"/>
    <w:rsid w:val="006E3527"/>
    <w:rsid w:val="006E6377"/>
    <w:rsid w:val="006F381F"/>
    <w:rsid w:val="006F447F"/>
    <w:rsid w:val="006F5128"/>
    <w:rsid w:val="007033EE"/>
    <w:rsid w:val="00703E14"/>
    <w:rsid w:val="007051DD"/>
    <w:rsid w:val="00705D61"/>
    <w:rsid w:val="00712726"/>
    <w:rsid w:val="007138CD"/>
    <w:rsid w:val="007148FE"/>
    <w:rsid w:val="007164BD"/>
    <w:rsid w:val="00721091"/>
    <w:rsid w:val="00721F2F"/>
    <w:rsid w:val="00722B41"/>
    <w:rsid w:val="00722D97"/>
    <w:rsid w:val="00725EA7"/>
    <w:rsid w:val="007265BE"/>
    <w:rsid w:val="00730736"/>
    <w:rsid w:val="00731C00"/>
    <w:rsid w:val="00732419"/>
    <w:rsid w:val="007325E5"/>
    <w:rsid w:val="0073295C"/>
    <w:rsid w:val="00734AC2"/>
    <w:rsid w:val="00735DC3"/>
    <w:rsid w:val="00736A28"/>
    <w:rsid w:val="00736A48"/>
    <w:rsid w:val="00741592"/>
    <w:rsid w:val="007434ED"/>
    <w:rsid w:val="00746F4E"/>
    <w:rsid w:val="00747EB2"/>
    <w:rsid w:val="007500FD"/>
    <w:rsid w:val="00751483"/>
    <w:rsid w:val="00751D04"/>
    <w:rsid w:val="00753195"/>
    <w:rsid w:val="00756F25"/>
    <w:rsid w:val="00760D92"/>
    <w:rsid w:val="00761373"/>
    <w:rsid w:val="00766308"/>
    <w:rsid w:val="007672A5"/>
    <w:rsid w:val="00767855"/>
    <w:rsid w:val="00767ED0"/>
    <w:rsid w:val="0077099A"/>
    <w:rsid w:val="00771A2F"/>
    <w:rsid w:val="00772887"/>
    <w:rsid w:val="007740C5"/>
    <w:rsid w:val="00775883"/>
    <w:rsid w:val="00777BD4"/>
    <w:rsid w:val="00780450"/>
    <w:rsid w:val="0078092E"/>
    <w:rsid w:val="007818F8"/>
    <w:rsid w:val="00782A5D"/>
    <w:rsid w:val="00783011"/>
    <w:rsid w:val="00783F62"/>
    <w:rsid w:val="007857E7"/>
    <w:rsid w:val="00790C0E"/>
    <w:rsid w:val="00790C4C"/>
    <w:rsid w:val="00791BBD"/>
    <w:rsid w:val="00792179"/>
    <w:rsid w:val="00792B34"/>
    <w:rsid w:val="007933C7"/>
    <w:rsid w:val="007955E3"/>
    <w:rsid w:val="007A0FC6"/>
    <w:rsid w:val="007A29BB"/>
    <w:rsid w:val="007B1069"/>
    <w:rsid w:val="007B12BE"/>
    <w:rsid w:val="007B19D5"/>
    <w:rsid w:val="007B1AC1"/>
    <w:rsid w:val="007B2655"/>
    <w:rsid w:val="007B5C8C"/>
    <w:rsid w:val="007B5DF8"/>
    <w:rsid w:val="007B746B"/>
    <w:rsid w:val="007C224C"/>
    <w:rsid w:val="007C2A05"/>
    <w:rsid w:val="007C2FD9"/>
    <w:rsid w:val="007C4B32"/>
    <w:rsid w:val="007D231B"/>
    <w:rsid w:val="007D2CF1"/>
    <w:rsid w:val="007D35DB"/>
    <w:rsid w:val="007D489D"/>
    <w:rsid w:val="007D4A70"/>
    <w:rsid w:val="007E3C8C"/>
    <w:rsid w:val="007E7488"/>
    <w:rsid w:val="007F4A7F"/>
    <w:rsid w:val="007F59CB"/>
    <w:rsid w:val="007F6DDE"/>
    <w:rsid w:val="008003C3"/>
    <w:rsid w:val="00801FA3"/>
    <w:rsid w:val="008046C1"/>
    <w:rsid w:val="0080505C"/>
    <w:rsid w:val="0080601A"/>
    <w:rsid w:val="0081056F"/>
    <w:rsid w:val="00811BB9"/>
    <w:rsid w:val="00816E77"/>
    <w:rsid w:val="00817A0E"/>
    <w:rsid w:val="008204DD"/>
    <w:rsid w:val="00820F69"/>
    <w:rsid w:val="0082620E"/>
    <w:rsid w:val="00826BCB"/>
    <w:rsid w:val="00826C23"/>
    <w:rsid w:val="00830284"/>
    <w:rsid w:val="008312F3"/>
    <w:rsid w:val="00831E22"/>
    <w:rsid w:val="00832648"/>
    <w:rsid w:val="00834333"/>
    <w:rsid w:val="008351D0"/>
    <w:rsid w:val="00835901"/>
    <w:rsid w:val="00836536"/>
    <w:rsid w:val="008372CF"/>
    <w:rsid w:val="00845025"/>
    <w:rsid w:val="00846843"/>
    <w:rsid w:val="00847636"/>
    <w:rsid w:val="00847AB1"/>
    <w:rsid w:val="00856273"/>
    <w:rsid w:val="00860247"/>
    <w:rsid w:val="00860A2F"/>
    <w:rsid w:val="00861193"/>
    <w:rsid w:val="00861FFB"/>
    <w:rsid w:val="008628F9"/>
    <w:rsid w:val="00863EC6"/>
    <w:rsid w:val="008649A5"/>
    <w:rsid w:val="00864CEF"/>
    <w:rsid w:val="00865ED2"/>
    <w:rsid w:val="00866529"/>
    <w:rsid w:val="0086775E"/>
    <w:rsid w:val="00870543"/>
    <w:rsid w:val="00870C72"/>
    <w:rsid w:val="008713FA"/>
    <w:rsid w:val="008732BF"/>
    <w:rsid w:val="008736E3"/>
    <w:rsid w:val="00873D0C"/>
    <w:rsid w:val="00882833"/>
    <w:rsid w:val="008834A0"/>
    <w:rsid w:val="008849A4"/>
    <w:rsid w:val="0089071B"/>
    <w:rsid w:val="008921FE"/>
    <w:rsid w:val="00894FC1"/>
    <w:rsid w:val="00895994"/>
    <w:rsid w:val="008961B9"/>
    <w:rsid w:val="00896B05"/>
    <w:rsid w:val="008A0EFB"/>
    <w:rsid w:val="008A2D6B"/>
    <w:rsid w:val="008A2FAB"/>
    <w:rsid w:val="008A400D"/>
    <w:rsid w:val="008A7CE5"/>
    <w:rsid w:val="008A7FE5"/>
    <w:rsid w:val="008B03CC"/>
    <w:rsid w:val="008B198F"/>
    <w:rsid w:val="008B3453"/>
    <w:rsid w:val="008C27CB"/>
    <w:rsid w:val="008D0801"/>
    <w:rsid w:val="008D209A"/>
    <w:rsid w:val="008D452A"/>
    <w:rsid w:val="008D4FD2"/>
    <w:rsid w:val="008D54A2"/>
    <w:rsid w:val="008E021D"/>
    <w:rsid w:val="008E0760"/>
    <w:rsid w:val="008E1949"/>
    <w:rsid w:val="008E43A2"/>
    <w:rsid w:val="008E793F"/>
    <w:rsid w:val="008E7A48"/>
    <w:rsid w:val="008F0692"/>
    <w:rsid w:val="008F0ABA"/>
    <w:rsid w:val="008F3547"/>
    <w:rsid w:val="008F4108"/>
    <w:rsid w:val="008F5057"/>
    <w:rsid w:val="008F6378"/>
    <w:rsid w:val="008F7416"/>
    <w:rsid w:val="00900CDA"/>
    <w:rsid w:val="00901DE6"/>
    <w:rsid w:val="00902100"/>
    <w:rsid w:val="00903B09"/>
    <w:rsid w:val="00907DA6"/>
    <w:rsid w:val="0091112C"/>
    <w:rsid w:val="00913FD6"/>
    <w:rsid w:val="0091414A"/>
    <w:rsid w:val="00914A93"/>
    <w:rsid w:val="00916E8F"/>
    <w:rsid w:val="00917386"/>
    <w:rsid w:val="00921D11"/>
    <w:rsid w:val="0092396E"/>
    <w:rsid w:val="0092488B"/>
    <w:rsid w:val="009250F1"/>
    <w:rsid w:val="00930E55"/>
    <w:rsid w:val="00932A3D"/>
    <w:rsid w:val="009376EC"/>
    <w:rsid w:val="00941FF9"/>
    <w:rsid w:val="00942876"/>
    <w:rsid w:val="009436C5"/>
    <w:rsid w:val="009457BB"/>
    <w:rsid w:val="009475EC"/>
    <w:rsid w:val="00950C0E"/>
    <w:rsid w:val="009518FE"/>
    <w:rsid w:val="009522F9"/>
    <w:rsid w:val="00954132"/>
    <w:rsid w:val="00954640"/>
    <w:rsid w:val="00954869"/>
    <w:rsid w:val="00956B35"/>
    <w:rsid w:val="00956F49"/>
    <w:rsid w:val="00957B24"/>
    <w:rsid w:val="00957DE2"/>
    <w:rsid w:val="00962B20"/>
    <w:rsid w:val="00964D1C"/>
    <w:rsid w:val="00967181"/>
    <w:rsid w:val="00967ACC"/>
    <w:rsid w:val="00971153"/>
    <w:rsid w:val="00971715"/>
    <w:rsid w:val="009719A4"/>
    <w:rsid w:val="00972B07"/>
    <w:rsid w:val="00972E89"/>
    <w:rsid w:val="00974C28"/>
    <w:rsid w:val="00976E18"/>
    <w:rsid w:val="00981371"/>
    <w:rsid w:val="00981456"/>
    <w:rsid w:val="00985DD8"/>
    <w:rsid w:val="0098727A"/>
    <w:rsid w:val="009A0901"/>
    <w:rsid w:val="009A1E53"/>
    <w:rsid w:val="009A3F1A"/>
    <w:rsid w:val="009A55D5"/>
    <w:rsid w:val="009B12AF"/>
    <w:rsid w:val="009B2278"/>
    <w:rsid w:val="009B3FE4"/>
    <w:rsid w:val="009B706A"/>
    <w:rsid w:val="009C2A5B"/>
    <w:rsid w:val="009C2E01"/>
    <w:rsid w:val="009C44FD"/>
    <w:rsid w:val="009C5B31"/>
    <w:rsid w:val="009C63E6"/>
    <w:rsid w:val="009C644B"/>
    <w:rsid w:val="009D0665"/>
    <w:rsid w:val="009D09F2"/>
    <w:rsid w:val="009D47E7"/>
    <w:rsid w:val="009D7D39"/>
    <w:rsid w:val="009E0AAC"/>
    <w:rsid w:val="009E20E1"/>
    <w:rsid w:val="009E2A02"/>
    <w:rsid w:val="009E38AD"/>
    <w:rsid w:val="009E3C25"/>
    <w:rsid w:val="009F20AC"/>
    <w:rsid w:val="009F2F85"/>
    <w:rsid w:val="009F4BCD"/>
    <w:rsid w:val="009F4EF0"/>
    <w:rsid w:val="009F77B7"/>
    <w:rsid w:val="00A0194C"/>
    <w:rsid w:val="00A02ED5"/>
    <w:rsid w:val="00A03553"/>
    <w:rsid w:val="00A0358F"/>
    <w:rsid w:val="00A03D2A"/>
    <w:rsid w:val="00A04451"/>
    <w:rsid w:val="00A07AB9"/>
    <w:rsid w:val="00A106BB"/>
    <w:rsid w:val="00A12EC0"/>
    <w:rsid w:val="00A166E9"/>
    <w:rsid w:val="00A176D0"/>
    <w:rsid w:val="00A2331E"/>
    <w:rsid w:val="00A275DA"/>
    <w:rsid w:val="00A308F9"/>
    <w:rsid w:val="00A33FD5"/>
    <w:rsid w:val="00A35072"/>
    <w:rsid w:val="00A36BE3"/>
    <w:rsid w:val="00A40409"/>
    <w:rsid w:val="00A4175A"/>
    <w:rsid w:val="00A42D8A"/>
    <w:rsid w:val="00A44B14"/>
    <w:rsid w:val="00A44F09"/>
    <w:rsid w:val="00A476AB"/>
    <w:rsid w:val="00A5009C"/>
    <w:rsid w:val="00A51445"/>
    <w:rsid w:val="00A51B12"/>
    <w:rsid w:val="00A53102"/>
    <w:rsid w:val="00A604F1"/>
    <w:rsid w:val="00A638FC"/>
    <w:rsid w:val="00A641DD"/>
    <w:rsid w:val="00A65018"/>
    <w:rsid w:val="00A70183"/>
    <w:rsid w:val="00A71D2A"/>
    <w:rsid w:val="00A729B5"/>
    <w:rsid w:val="00A76294"/>
    <w:rsid w:val="00A77EA1"/>
    <w:rsid w:val="00A800A1"/>
    <w:rsid w:val="00A8036E"/>
    <w:rsid w:val="00A806D3"/>
    <w:rsid w:val="00A823A9"/>
    <w:rsid w:val="00A82F30"/>
    <w:rsid w:val="00A83667"/>
    <w:rsid w:val="00A85490"/>
    <w:rsid w:val="00A862E2"/>
    <w:rsid w:val="00A86C91"/>
    <w:rsid w:val="00A87495"/>
    <w:rsid w:val="00A90521"/>
    <w:rsid w:val="00A90551"/>
    <w:rsid w:val="00A921A0"/>
    <w:rsid w:val="00A9285A"/>
    <w:rsid w:val="00A92D91"/>
    <w:rsid w:val="00A92DFA"/>
    <w:rsid w:val="00A93BD2"/>
    <w:rsid w:val="00A945DD"/>
    <w:rsid w:val="00A96405"/>
    <w:rsid w:val="00A96B73"/>
    <w:rsid w:val="00A9749D"/>
    <w:rsid w:val="00A97858"/>
    <w:rsid w:val="00AA0145"/>
    <w:rsid w:val="00AA294F"/>
    <w:rsid w:val="00AA2EB4"/>
    <w:rsid w:val="00AA3EBB"/>
    <w:rsid w:val="00AA49D9"/>
    <w:rsid w:val="00AA4AEE"/>
    <w:rsid w:val="00AA7C80"/>
    <w:rsid w:val="00AB2637"/>
    <w:rsid w:val="00AB33FB"/>
    <w:rsid w:val="00AB79D0"/>
    <w:rsid w:val="00AC0394"/>
    <w:rsid w:val="00AC1013"/>
    <w:rsid w:val="00AC2599"/>
    <w:rsid w:val="00AC3841"/>
    <w:rsid w:val="00AC3DA8"/>
    <w:rsid w:val="00AC46D2"/>
    <w:rsid w:val="00AC5191"/>
    <w:rsid w:val="00AC5345"/>
    <w:rsid w:val="00AC69D4"/>
    <w:rsid w:val="00AD32E0"/>
    <w:rsid w:val="00AD5035"/>
    <w:rsid w:val="00AD60BA"/>
    <w:rsid w:val="00AD650B"/>
    <w:rsid w:val="00AD7B6F"/>
    <w:rsid w:val="00AE086C"/>
    <w:rsid w:val="00AE1786"/>
    <w:rsid w:val="00AE1BB5"/>
    <w:rsid w:val="00AE2731"/>
    <w:rsid w:val="00AE5BAD"/>
    <w:rsid w:val="00AF49BA"/>
    <w:rsid w:val="00AF6538"/>
    <w:rsid w:val="00AF6909"/>
    <w:rsid w:val="00B009D1"/>
    <w:rsid w:val="00B066BE"/>
    <w:rsid w:val="00B141D6"/>
    <w:rsid w:val="00B23C2B"/>
    <w:rsid w:val="00B24675"/>
    <w:rsid w:val="00B27507"/>
    <w:rsid w:val="00B31396"/>
    <w:rsid w:val="00B31566"/>
    <w:rsid w:val="00B316D8"/>
    <w:rsid w:val="00B33EE4"/>
    <w:rsid w:val="00B345DF"/>
    <w:rsid w:val="00B34E78"/>
    <w:rsid w:val="00B36A75"/>
    <w:rsid w:val="00B36F1E"/>
    <w:rsid w:val="00B371EA"/>
    <w:rsid w:val="00B41365"/>
    <w:rsid w:val="00B45002"/>
    <w:rsid w:val="00B46D97"/>
    <w:rsid w:val="00B50773"/>
    <w:rsid w:val="00B5108D"/>
    <w:rsid w:val="00B513E4"/>
    <w:rsid w:val="00B52126"/>
    <w:rsid w:val="00B52431"/>
    <w:rsid w:val="00B534E0"/>
    <w:rsid w:val="00B550F7"/>
    <w:rsid w:val="00B55F47"/>
    <w:rsid w:val="00B56255"/>
    <w:rsid w:val="00B568CF"/>
    <w:rsid w:val="00B56B96"/>
    <w:rsid w:val="00B61D11"/>
    <w:rsid w:val="00B6293D"/>
    <w:rsid w:val="00B62DF6"/>
    <w:rsid w:val="00B634DE"/>
    <w:rsid w:val="00B63861"/>
    <w:rsid w:val="00B64A37"/>
    <w:rsid w:val="00B65B0A"/>
    <w:rsid w:val="00B70A73"/>
    <w:rsid w:val="00B70CFC"/>
    <w:rsid w:val="00B744EC"/>
    <w:rsid w:val="00B74AA8"/>
    <w:rsid w:val="00B7641B"/>
    <w:rsid w:val="00B76592"/>
    <w:rsid w:val="00B778BA"/>
    <w:rsid w:val="00B80FFC"/>
    <w:rsid w:val="00B81041"/>
    <w:rsid w:val="00B81912"/>
    <w:rsid w:val="00B819D9"/>
    <w:rsid w:val="00B82471"/>
    <w:rsid w:val="00B871BD"/>
    <w:rsid w:val="00B9097F"/>
    <w:rsid w:val="00B911C2"/>
    <w:rsid w:val="00B92322"/>
    <w:rsid w:val="00B96FCE"/>
    <w:rsid w:val="00BA1484"/>
    <w:rsid w:val="00BA3189"/>
    <w:rsid w:val="00BA331D"/>
    <w:rsid w:val="00BA53A6"/>
    <w:rsid w:val="00BA7CF8"/>
    <w:rsid w:val="00BB03CA"/>
    <w:rsid w:val="00BB1D3A"/>
    <w:rsid w:val="00BB39F3"/>
    <w:rsid w:val="00BB77A8"/>
    <w:rsid w:val="00BC2B04"/>
    <w:rsid w:val="00BC6112"/>
    <w:rsid w:val="00BC6D9D"/>
    <w:rsid w:val="00BD1784"/>
    <w:rsid w:val="00BD2C2F"/>
    <w:rsid w:val="00BD2F64"/>
    <w:rsid w:val="00BD3105"/>
    <w:rsid w:val="00BD387F"/>
    <w:rsid w:val="00BD4845"/>
    <w:rsid w:val="00BD58BE"/>
    <w:rsid w:val="00BD65B2"/>
    <w:rsid w:val="00BD690C"/>
    <w:rsid w:val="00BD6A6E"/>
    <w:rsid w:val="00BD6B07"/>
    <w:rsid w:val="00BD7BB1"/>
    <w:rsid w:val="00BE1278"/>
    <w:rsid w:val="00BE2160"/>
    <w:rsid w:val="00BE2DF3"/>
    <w:rsid w:val="00BE2E2D"/>
    <w:rsid w:val="00BE3049"/>
    <w:rsid w:val="00BE3BD1"/>
    <w:rsid w:val="00BE512B"/>
    <w:rsid w:val="00BE6349"/>
    <w:rsid w:val="00BE73BA"/>
    <w:rsid w:val="00BE7F5A"/>
    <w:rsid w:val="00BF0C7E"/>
    <w:rsid w:val="00BF1C42"/>
    <w:rsid w:val="00BF2ED6"/>
    <w:rsid w:val="00BF3F09"/>
    <w:rsid w:val="00BF6562"/>
    <w:rsid w:val="00C0308B"/>
    <w:rsid w:val="00C0365A"/>
    <w:rsid w:val="00C03B52"/>
    <w:rsid w:val="00C03F83"/>
    <w:rsid w:val="00C06018"/>
    <w:rsid w:val="00C101B4"/>
    <w:rsid w:val="00C14FB7"/>
    <w:rsid w:val="00C17F3E"/>
    <w:rsid w:val="00C20BAD"/>
    <w:rsid w:val="00C21144"/>
    <w:rsid w:val="00C24227"/>
    <w:rsid w:val="00C24A5E"/>
    <w:rsid w:val="00C25A76"/>
    <w:rsid w:val="00C33FBD"/>
    <w:rsid w:val="00C344DE"/>
    <w:rsid w:val="00C34BCA"/>
    <w:rsid w:val="00C34D5A"/>
    <w:rsid w:val="00C34F45"/>
    <w:rsid w:val="00C363E7"/>
    <w:rsid w:val="00C408D8"/>
    <w:rsid w:val="00C40D45"/>
    <w:rsid w:val="00C41B72"/>
    <w:rsid w:val="00C42731"/>
    <w:rsid w:val="00C43CB4"/>
    <w:rsid w:val="00C4411F"/>
    <w:rsid w:val="00C44318"/>
    <w:rsid w:val="00C45A85"/>
    <w:rsid w:val="00C46A62"/>
    <w:rsid w:val="00C476C6"/>
    <w:rsid w:val="00C47F4F"/>
    <w:rsid w:val="00C53D4C"/>
    <w:rsid w:val="00C54AC8"/>
    <w:rsid w:val="00C54BAB"/>
    <w:rsid w:val="00C5557A"/>
    <w:rsid w:val="00C5651D"/>
    <w:rsid w:val="00C60A6D"/>
    <w:rsid w:val="00C61174"/>
    <w:rsid w:val="00C611EB"/>
    <w:rsid w:val="00C6190F"/>
    <w:rsid w:val="00C6224E"/>
    <w:rsid w:val="00C6228F"/>
    <w:rsid w:val="00C66FA9"/>
    <w:rsid w:val="00C7118F"/>
    <w:rsid w:val="00C72D65"/>
    <w:rsid w:val="00C76978"/>
    <w:rsid w:val="00C773EA"/>
    <w:rsid w:val="00C8275F"/>
    <w:rsid w:val="00C845C1"/>
    <w:rsid w:val="00C84D5C"/>
    <w:rsid w:val="00C90917"/>
    <w:rsid w:val="00C922DA"/>
    <w:rsid w:val="00C929FB"/>
    <w:rsid w:val="00C94BFB"/>
    <w:rsid w:val="00CA2B76"/>
    <w:rsid w:val="00CA2F31"/>
    <w:rsid w:val="00CA372D"/>
    <w:rsid w:val="00CA4949"/>
    <w:rsid w:val="00CB168F"/>
    <w:rsid w:val="00CB1694"/>
    <w:rsid w:val="00CB2069"/>
    <w:rsid w:val="00CB3821"/>
    <w:rsid w:val="00CB5507"/>
    <w:rsid w:val="00CB573F"/>
    <w:rsid w:val="00CB6149"/>
    <w:rsid w:val="00CC08EC"/>
    <w:rsid w:val="00CC16DD"/>
    <w:rsid w:val="00CC1E7E"/>
    <w:rsid w:val="00CC209D"/>
    <w:rsid w:val="00CC4137"/>
    <w:rsid w:val="00CC53EB"/>
    <w:rsid w:val="00CD29F5"/>
    <w:rsid w:val="00CD2B79"/>
    <w:rsid w:val="00CD40A4"/>
    <w:rsid w:val="00CD51AD"/>
    <w:rsid w:val="00CD5FE6"/>
    <w:rsid w:val="00CE112A"/>
    <w:rsid w:val="00CE27EC"/>
    <w:rsid w:val="00CE2DFA"/>
    <w:rsid w:val="00CE4EBA"/>
    <w:rsid w:val="00CF34CA"/>
    <w:rsid w:val="00CF53A9"/>
    <w:rsid w:val="00CF540A"/>
    <w:rsid w:val="00CF623F"/>
    <w:rsid w:val="00CF7230"/>
    <w:rsid w:val="00CF7884"/>
    <w:rsid w:val="00D014C4"/>
    <w:rsid w:val="00D04222"/>
    <w:rsid w:val="00D108B6"/>
    <w:rsid w:val="00D10F56"/>
    <w:rsid w:val="00D115C1"/>
    <w:rsid w:val="00D11811"/>
    <w:rsid w:val="00D12F87"/>
    <w:rsid w:val="00D16B14"/>
    <w:rsid w:val="00D171AE"/>
    <w:rsid w:val="00D22698"/>
    <w:rsid w:val="00D238CE"/>
    <w:rsid w:val="00D23EFF"/>
    <w:rsid w:val="00D26159"/>
    <w:rsid w:val="00D276FD"/>
    <w:rsid w:val="00D30485"/>
    <w:rsid w:val="00D31201"/>
    <w:rsid w:val="00D32531"/>
    <w:rsid w:val="00D35E76"/>
    <w:rsid w:val="00D41895"/>
    <w:rsid w:val="00D426F3"/>
    <w:rsid w:val="00D44A7C"/>
    <w:rsid w:val="00D44CBB"/>
    <w:rsid w:val="00D44FFC"/>
    <w:rsid w:val="00D464A1"/>
    <w:rsid w:val="00D47A0F"/>
    <w:rsid w:val="00D510B3"/>
    <w:rsid w:val="00D5156A"/>
    <w:rsid w:val="00D51C88"/>
    <w:rsid w:val="00D55633"/>
    <w:rsid w:val="00D57250"/>
    <w:rsid w:val="00D57463"/>
    <w:rsid w:val="00D57686"/>
    <w:rsid w:val="00D61365"/>
    <w:rsid w:val="00D62C2E"/>
    <w:rsid w:val="00D64D70"/>
    <w:rsid w:val="00D65815"/>
    <w:rsid w:val="00D73BE1"/>
    <w:rsid w:val="00D74315"/>
    <w:rsid w:val="00D74DCB"/>
    <w:rsid w:val="00D74F67"/>
    <w:rsid w:val="00D761CD"/>
    <w:rsid w:val="00D77851"/>
    <w:rsid w:val="00D77F61"/>
    <w:rsid w:val="00D81028"/>
    <w:rsid w:val="00D823D3"/>
    <w:rsid w:val="00D827AD"/>
    <w:rsid w:val="00D83056"/>
    <w:rsid w:val="00D838F6"/>
    <w:rsid w:val="00D8526F"/>
    <w:rsid w:val="00D8573D"/>
    <w:rsid w:val="00D918C0"/>
    <w:rsid w:val="00D94098"/>
    <w:rsid w:val="00D94FAF"/>
    <w:rsid w:val="00D967F6"/>
    <w:rsid w:val="00D96EB3"/>
    <w:rsid w:val="00D97E8E"/>
    <w:rsid w:val="00DA4D9C"/>
    <w:rsid w:val="00DA5941"/>
    <w:rsid w:val="00DA76F3"/>
    <w:rsid w:val="00DB2AB1"/>
    <w:rsid w:val="00DB31F1"/>
    <w:rsid w:val="00DB3E0F"/>
    <w:rsid w:val="00DB4661"/>
    <w:rsid w:val="00DB69B5"/>
    <w:rsid w:val="00DC1609"/>
    <w:rsid w:val="00DC1F2B"/>
    <w:rsid w:val="00DC2486"/>
    <w:rsid w:val="00DC7A04"/>
    <w:rsid w:val="00DD14DD"/>
    <w:rsid w:val="00DD1EAB"/>
    <w:rsid w:val="00DD3EA5"/>
    <w:rsid w:val="00DD4521"/>
    <w:rsid w:val="00DD459C"/>
    <w:rsid w:val="00DD49A4"/>
    <w:rsid w:val="00DD5884"/>
    <w:rsid w:val="00DD68C3"/>
    <w:rsid w:val="00DE0BB6"/>
    <w:rsid w:val="00DE1E87"/>
    <w:rsid w:val="00DE2D7D"/>
    <w:rsid w:val="00DE5F31"/>
    <w:rsid w:val="00DE6198"/>
    <w:rsid w:val="00DE76CA"/>
    <w:rsid w:val="00DF26AD"/>
    <w:rsid w:val="00DF2FAA"/>
    <w:rsid w:val="00DF3854"/>
    <w:rsid w:val="00DF4B88"/>
    <w:rsid w:val="00DF526E"/>
    <w:rsid w:val="00DF60D5"/>
    <w:rsid w:val="00DF66C6"/>
    <w:rsid w:val="00DF6800"/>
    <w:rsid w:val="00DF6EDB"/>
    <w:rsid w:val="00DF7457"/>
    <w:rsid w:val="00E0047C"/>
    <w:rsid w:val="00E0371C"/>
    <w:rsid w:val="00E03DB0"/>
    <w:rsid w:val="00E03F01"/>
    <w:rsid w:val="00E05082"/>
    <w:rsid w:val="00E0726D"/>
    <w:rsid w:val="00E105DD"/>
    <w:rsid w:val="00E10F59"/>
    <w:rsid w:val="00E135EF"/>
    <w:rsid w:val="00E13DFF"/>
    <w:rsid w:val="00E14CB7"/>
    <w:rsid w:val="00E22937"/>
    <w:rsid w:val="00E258E1"/>
    <w:rsid w:val="00E300D1"/>
    <w:rsid w:val="00E33A37"/>
    <w:rsid w:val="00E3406C"/>
    <w:rsid w:val="00E34E41"/>
    <w:rsid w:val="00E373DE"/>
    <w:rsid w:val="00E40173"/>
    <w:rsid w:val="00E41E30"/>
    <w:rsid w:val="00E44645"/>
    <w:rsid w:val="00E45432"/>
    <w:rsid w:val="00E45784"/>
    <w:rsid w:val="00E4616D"/>
    <w:rsid w:val="00E4640C"/>
    <w:rsid w:val="00E51197"/>
    <w:rsid w:val="00E5171F"/>
    <w:rsid w:val="00E53710"/>
    <w:rsid w:val="00E55A7B"/>
    <w:rsid w:val="00E56EB5"/>
    <w:rsid w:val="00E5746A"/>
    <w:rsid w:val="00E57D9E"/>
    <w:rsid w:val="00E60701"/>
    <w:rsid w:val="00E612EC"/>
    <w:rsid w:val="00E62D51"/>
    <w:rsid w:val="00E64E14"/>
    <w:rsid w:val="00E64F69"/>
    <w:rsid w:val="00E65AA1"/>
    <w:rsid w:val="00E703A5"/>
    <w:rsid w:val="00E71380"/>
    <w:rsid w:val="00E727C3"/>
    <w:rsid w:val="00E72DDD"/>
    <w:rsid w:val="00E72F42"/>
    <w:rsid w:val="00E74B16"/>
    <w:rsid w:val="00E7512A"/>
    <w:rsid w:val="00E80095"/>
    <w:rsid w:val="00E846D1"/>
    <w:rsid w:val="00E86DF7"/>
    <w:rsid w:val="00E910C2"/>
    <w:rsid w:val="00E92081"/>
    <w:rsid w:val="00E9457C"/>
    <w:rsid w:val="00E955ED"/>
    <w:rsid w:val="00E9612B"/>
    <w:rsid w:val="00E96AEB"/>
    <w:rsid w:val="00EA082C"/>
    <w:rsid w:val="00EA0AF6"/>
    <w:rsid w:val="00EA2319"/>
    <w:rsid w:val="00EA24D0"/>
    <w:rsid w:val="00EA4B3A"/>
    <w:rsid w:val="00EA4D01"/>
    <w:rsid w:val="00EA578E"/>
    <w:rsid w:val="00EA6574"/>
    <w:rsid w:val="00EA7B4B"/>
    <w:rsid w:val="00EB062A"/>
    <w:rsid w:val="00EB1602"/>
    <w:rsid w:val="00EB26B9"/>
    <w:rsid w:val="00EB34F3"/>
    <w:rsid w:val="00EC072E"/>
    <w:rsid w:val="00EC1469"/>
    <w:rsid w:val="00EC1A90"/>
    <w:rsid w:val="00EC2065"/>
    <w:rsid w:val="00EC325C"/>
    <w:rsid w:val="00EC3923"/>
    <w:rsid w:val="00EC57CC"/>
    <w:rsid w:val="00EC6693"/>
    <w:rsid w:val="00EC731A"/>
    <w:rsid w:val="00EC7637"/>
    <w:rsid w:val="00ED1378"/>
    <w:rsid w:val="00ED2691"/>
    <w:rsid w:val="00ED34FE"/>
    <w:rsid w:val="00ED622B"/>
    <w:rsid w:val="00EE29C2"/>
    <w:rsid w:val="00EE3318"/>
    <w:rsid w:val="00EE332A"/>
    <w:rsid w:val="00EE381C"/>
    <w:rsid w:val="00EE4173"/>
    <w:rsid w:val="00EE5B07"/>
    <w:rsid w:val="00EE60F9"/>
    <w:rsid w:val="00EE6F07"/>
    <w:rsid w:val="00EF1B47"/>
    <w:rsid w:val="00F02A88"/>
    <w:rsid w:val="00F03BD5"/>
    <w:rsid w:val="00F05522"/>
    <w:rsid w:val="00F05F16"/>
    <w:rsid w:val="00F10501"/>
    <w:rsid w:val="00F113D5"/>
    <w:rsid w:val="00F11B5A"/>
    <w:rsid w:val="00F11DE1"/>
    <w:rsid w:val="00F14694"/>
    <w:rsid w:val="00F2205E"/>
    <w:rsid w:val="00F22158"/>
    <w:rsid w:val="00F22FB1"/>
    <w:rsid w:val="00F258B1"/>
    <w:rsid w:val="00F25C16"/>
    <w:rsid w:val="00F31065"/>
    <w:rsid w:val="00F328A4"/>
    <w:rsid w:val="00F32E55"/>
    <w:rsid w:val="00F33519"/>
    <w:rsid w:val="00F33582"/>
    <w:rsid w:val="00F356AF"/>
    <w:rsid w:val="00F358B5"/>
    <w:rsid w:val="00F36B9B"/>
    <w:rsid w:val="00F36BB1"/>
    <w:rsid w:val="00F372EE"/>
    <w:rsid w:val="00F37AF4"/>
    <w:rsid w:val="00F42702"/>
    <w:rsid w:val="00F43913"/>
    <w:rsid w:val="00F47D41"/>
    <w:rsid w:val="00F5163D"/>
    <w:rsid w:val="00F51AB9"/>
    <w:rsid w:val="00F51DFE"/>
    <w:rsid w:val="00F52C2B"/>
    <w:rsid w:val="00F53023"/>
    <w:rsid w:val="00F5361F"/>
    <w:rsid w:val="00F6100A"/>
    <w:rsid w:val="00F61505"/>
    <w:rsid w:val="00F616FD"/>
    <w:rsid w:val="00F61AB2"/>
    <w:rsid w:val="00F61FC1"/>
    <w:rsid w:val="00F6270B"/>
    <w:rsid w:val="00F62FC1"/>
    <w:rsid w:val="00F650CD"/>
    <w:rsid w:val="00F650E9"/>
    <w:rsid w:val="00F66196"/>
    <w:rsid w:val="00F66A65"/>
    <w:rsid w:val="00F66BB4"/>
    <w:rsid w:val="00F6738D"/>
    <w:rsid w:val="00F70EE9"/>
    <w:rsid w:val="00F71B1E"/>
    <w:rsid w:val="00F71B5E"/>
    <w:rsid w:val="00F7484F"/>
    <w:rsid w:val="00F74E89"/>
    <w:rsid w:val="00F758B8"/>
    <w:rsid w:val="00F76208"/>
    <w:rsid w:val="00F90111"/>
    <w:rsid w:val="00F93670"/>
    <w:rsid w:val="00F93E40"/>
    <w:rsid w:val="00F9737B"/>
    <w:rsid w:val="00FA4D05"/>
    <w:rsid w:val="00FA4DFA"/>
    <w:rsid w:val="00FA541B"/>
    <w:rsid w:val="00FA6C5E"/>
    <w:rsid w:val="00FB0E8C"/>
    <w:rsid w:val="00FB1F0C"/>
    <w:rsid w:val="00FB6453"/>
    <w:rsid w:val="00FC29E8"/>
    <w:rsid w:val="00FC4AAE"/>
    <w:rsid w:val="00FC6703"/>
    <w:rsid w:val="00FD02EE"/>
    <w:rsid w:val="00FD2700"/>
    <w:rsid w:val="00FD285C"/>
    <w:rsid w:val="00FD2966"/>
    <w:rsid w:val="00FD3148"/>
    <w:rsid w:val="00FD47F1"/>
    <w:rsid w:val="00FD7CBA"/>
    <w:rsid w:val="00FE6AC4"/>
    <w:rsid w:val="00FE7B72"/>
    <w:rsid w:val="00FF1543"/>
    <w:rsid w:val="00FF7FC5"/>
    <w:rsid w:val="028D04AA"/>
    <w:rsid w:val="05DA38B7"/>
    <w:rsid w:val="0AC00DD4"/>
    <w:rsid w:val="19170BEE"/>
    <w:rsid w:val="1D9A42AE"/>
    <w:rsid w:val="2BFA474B"/>
    <w:rsid w:val="2D027270"/>
    <w:rsid w:val="2F8D520B"/>
    <w:rsid w:val="2FA63E8A"/>
    <w:rsid w:val="31D9422E"/>
    <w:rsid w:val="336F1738"/>
    <w:rsid w:val="33E710F6"/>
    <w:rsid w:val="37BBF413"/>
    <w:rsid w:val="40605267"/>
    <w:rsid w:val="4EA61BC0"/>
    <w:rsid w:val="4FE97D45"/>
    <w:rsid w:val="52A77F6F"/>
    <w:rsid w:val="5E3530C8"/>
    <w:rsid w:val="65300C3E"/>
    <w:rsid w:val="660A75E7"/>
    <w:rsid w:val="678126C1"/>
    <w:rsid w:val="68294E4D"/>
    <w:rsid w:val="6873116C"/>
    <w:rsid w:val="69641520"/>
    <w:rsid w:val="702351A1"/>
    <w:rsid w:val="76371AE3"/>
    <w:rsid w:val="77DD0B25"/>
    <w:rsid w:val="7826400E"/>
    <w:rsid w:val="7CAFCB10"/>
    <w:rsid w:val="7ED756CD"/>
    <w:rsid w:val="FFB9C4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Times New Roman"/>
      <w:kern w:val="2"/>
      <w:sz w:val="32"/>
      <w:lang w:val="en-US" w:eastAsia="zh-CN" w:bidi="ar-SA"/>
    </w:rPr>
  </w:style>
  <w:style w:type="paragraph" w:styleId="3">
    <w:name w:val="heading 1"/>
    <w:basedOn w:val="1"/>
    <w:next w:val="1"/>
    <w:qFormat/>
    <w:uiPriority w:val="0"/>
    <w:pPr>
      <w:keepNext/>
      <w:spacing w:line="280" w:lineRule="exact"/>
      <w:jc w:val="center"/>
      <w:outlineLvl w:val="0"/>
    </w:pPr>
    <w:rPr>
      <w:rFonts w:ascii="宋体" w:hAnsi="宋体"/>
      <w:b/>
      <w:bCs/>
      <w:spacing w:val="-8"/>
      <w:sz w:val="18"/>
      <w:szCs w:val="24"/>
    </w:rPr>
  </w:style>
  <w:style w:type="character" w:default="1" w:styleId="17">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720" w:lineRule="exact"/>
      <w:jc w:val="center"/>
    </w:pPr>
    <w:rPr>
      <w:rFonts w:eastAsia="方正小标宋简体"/>
      <w:sz w:val="48"/>
      <w:szCs w:val="24"/>
    </w:rPr>
  </w:style>
  <w:style w:type="paragraph" w:styleId="4">
    <w:name w:val="index 5"/>
    <w:basedOn w:val="1"/>
    <w:next w:val="1"/>
    <w:qFormat/>
    <w:uiPriority w:val="0"/>
    <w:pPr>
      <w:ind w:left="1680"/>
    </w:pPr>
  </w:style>
  <w:style w:type="paragraph" w:styleId="5">
    <w:name w:val="Body Text Indent"/>
    <w:basedOn w:val="1"/>
    <w:qFormat/>
    <w:uiPriority w:val="0"/>
    <w:pPr>
      <w:spacing w:after="120"/>
      <w:ind w:left="420" w:leftChars="200"/>
    </w:pPr>
  </w:style>
  <w:style w:type="paragraph" w:styleId="6">
    <w:name w:val="Plain Tex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next w:val="4"/>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Body Text 2"/>
    <w:basedOn w:val="1"/>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Emphasis"/>
    <w:basedOn w:val="17"/>
    <w:qFormat/>
    <w:uiPriority w:val="0"/>
    <w:rPr>
      <w:i/>
    </w:rPr>
  </w:style>
  <w:style w:type="character" w:styleId="21">
    <w:name w:val="Hyperlink"/>
    <w:basedOn w:val="17"/>
    <w:qFormat/>
    <w:uiPriority w:val="0"/>
    <w:rPr>
      <w:color w:val="0000FF"/>
      <w:u w:val="single"/>
    </w:rPr>
  </w:style>
  <w:style w:type="character" w:customStyle="1" w:styleId="22">
    <w:name w:val="style251"/>
    <w:basedOn w:val="17"/>
    <w:qFormat/>
    <w:uiPriority w:val="0"/>
    <w:rPr>
      <w:sz w:val="19"/>
      <w:szCs w:val="19"/>
    </w:rPr>
  </w:style>
  <w:style w:type="character" w:customStyle="1" w:styleId="23">
    <w:name w:val="line5"/>
    <w:basedOn w:val="17"/>
    <w:qFormat/>
    <w:uiPriority w:val="0"/>
  </w:style>
  <w:style w:type="character" w:customStyle="1" w:styleId="24">
    <w:name w:val="p51"/>
    <w:basedOn w:val="17"/>
    <w:qFormat/>
    <w:uiPriority w:val="0"/>
    <w:rPr>
      <w:rFonts w:hint="default" w:ascii="_x000B__x000C_" w:hAnsi="_x000B__x000C_"/>
      <w:b/>
      <w:bCs/>
      <w:sz w:val="27"/>
      <w:szCs w:val="27"/>
    </w:rPr>
  </w:style>
  <w:style w:type="paragraph" w:customStyle="1" w:styleId="25">
    <w:name w:val="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6">
    <w:name w:val="_Style 5"/>
    <w:basedOn w:val="1"/>
    <w:qFormat/>
    <w:uiPriority w:val="0"/>
    <w:pPr>
      <w:widowControl/>
      <w:spacing w:after="160" w:line="240" w:lineRule="exact"/>
      <w:jc w:val="left"/>
    </w:pPr>
    <w:rPr>
      <w:rFonts w:eastAsia="宋体"/>
      <w:sz w:val="21"/>
      <w:szCs w:val="24"/>
    </w:rPr>
  </w:style>
  <w:style w:type="paragraph" w:styleId="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公文小标题"/>
    <w:basedOn w:val="1"/>
    <w:qFormat/>
    <w:uiPriority w:val="0"/>
    <w:pPr>
      <w:spacing w:line="580" w:lineRule="exact"/>
      <w:ind w:firstLine="640" w:firstLineChars="200"/>
    </w:pPr>
    <w:rPr>
      <w:rFonts w:ascii="黑体" w:eastAsia="黑体"/>
      <w:szCs w:val="32"/>
    </w:rPr>
  </w:style>
  <w:style w:type="paragraph" w:customStyle="1" w:styleId="29">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30">
    <w:name w:val=" Char"/>
    <w:basedOn w:val="1"/>
    <w:qFormat/>
    <w:uiPriority w:val="0"/>
    <w:pPr>
      <w:widowControl/>
      <w:spacing w:after="160" w:line="240" w:lineRule="exact"/>
      <w:jc w:val="left"/>
    </w:pPr>
    <w:rPr>
      <w:rFonts w:eastAsia="宋体"/>
      <w:sz w:val="21"/>
    </w:rPr>
  </w:style>
  <w:style w:type="paragraph" w:customStyle="1" w:styleId="31">
    <w:name w:val=" Char Char Char Char Char Char Char Char Char Char Char Char Char Char Char Char"/>
    <w:basedOn w:val="1"/>
    <w:qFormat/>
    <w:uiPriority w:val="0"/>
    <w:rPr>
      <w:rFonts w:eastAsia="宋体"/>
      <w:sz w:val="21"/>
      <w:szCs w:val="24"/>
    </w:rPr>
  </w:style>
  <w:style w:type="paragraph" w:customStyle="1" w:styleId="32">
    <w:name w:val="p0"/>
    <w:basedOn w:val="1"/>
    <w:qFormat/>
    <w:uiPriority w:val="0"/>
    <w:rPr>
      <w:rFonts w:eastAsia="宋体"/>
      <w:kern w:val="0"/>
      <w:sz w:val="21"/>
      <w:szCs w:val="21"/>
    </w:rPr>
  </w:style>
  <w:style w:type="paragraph" w:customStyle="1" w:styleId="33">
    <w:name w:val="公文标题"/>
    <w:basedOn w:val="1"/>
    <w:qFormat/>
    <w:uiPriority w:val="0"/>
    <w:pPr>
      <w:autoSpaceDE w:val="0"/>
      <w:jc w:val="center"/>
    </w:pPr>
    <w:rPr>
      <w:rFonts w:eastAsia="宋体"/>
      <w:sz w:val="44"/>
      <w:szCs w:val="24"/>
    </w:rPr>
  </w:style>
  <w:style w:type="paragraph" w:customStyle="1" w:styleId="34">
    <w:name w:val="字元14"/>
    <w:basedOn w:val="1"/>
    <w:semiHidden/>
    <w:qFormat/>
    <w:uiPriority w:val="0"/>
    <w:rPr>
      <w:rFonts w:eastAsia="宋体"/>
      <w:sz w:val="21"/>
      <w:szCs w:val="24"/>
    </w:rPr>
  </w:style>
  <w:style w:type="paragraph" w:customStyle="1" w:styleId="35">
    <w:name w:val="No Spacing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省政府</Company>
  <Pages>9</Pages>
  <Words>560</Words>
  <Characters>3195</Characters>
  <Lines>26</Lines>
  <Paragraphs>7</Paragraphs>
  <TotalTime>7</TotalTime>
  <ScaleCrop>false</ScaleCrop>
  <LinksUpToDate>false</LinksUpToDate>
  <CharactersWithSpaces>3748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2017-08-19T01:25:00Z</dcterms:created>
  <dc:creator>文印室</dc:creator>
  <cp:lastModifiedBy>苏蕾</cp:lastModifiedBy>
  <cp:lastPrinted>2022-09-30T09:24:21Z</cp:lastPrinted>
  <dcterms:modified xsi:type="dcterms:W3CDTF">2022-09-30T09:24:56Z</dcterms:modified>
  <dc:title>湘劳社〔2001〕267号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