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HNPR-2020-11018</w:t>
      </w:r>
    </w:p>
    <w:p>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outlineLvl w:val="9"/>
        <w:rPr>
          <w:rFonts w:hint="default" w:ascii="Times New Roman" w:hAnsi="Times New Roman" w:eastAsia="方正小标宋简体" w:cs="Times New Roman"/>
          <w:color w:val="000000"/>
          <w:w w:val="80"/>
          <w:sz w:val="88"/>
          <w:szCs w:val="82"/>
        </w:rPr>
      </w:pPr>
    </w:p>
    <w:p>
      <w:pPr>
        <w:spacing w:line="1600" w:lineRule="exact"/>
        <w:jc w:val="center"/>
        <w:rPr>
          <w:rFonts w:hint="default" w:ascii="Times New Roman" w:hAnsi="Times New Roman" w:eastAsia="方正小标宋简体" w:cs="Times New Roman"/>
          <w:color w:val="FF0000"/>
          <w:spacing w:val="0"/>
          <w:w w:val="80"/>
          <w:position w:val="6"/>
          <w:sz w:val="72"/>
          <w:szCs w:val="72"/>
          <w:lang w:eastAsia="zh-CN"/>
        </w:rPr>
      </w:pPr>
      <w:r>
        <w:rPr>
          <w:rFonts w:hint="default" w:ascii="Times New Roman" w:hAnsi="Times New Roman" w:eastAsia="方正小标宋简体" w:cs="Times New Roman"/>
          <w:color w:val="FF0000"/>
          <w:spacing w:val="0"/>
          <w:w w:val="80"/>
          <w:position w:val="6"/>
          <w:sz w:val="72"/>
          <w:szCs w:val="72"/>
        </w:rPr>
        <w:t>湖南省人力资源和社会保障厅文</w:t>
      </w:r>
      <w:r>
        <w:rPr>
          <w:rFonts w:hint="default" w:ascii="Times New Roman" w:hAnsi="Times New Roman" w:eastAsia="方正小标宋简体" w:cs="Times New Roman"/>
          <w:color w:val="FF0000"/>
          <w:spacing w:val="0"/>
          <w:w w:val="80"/>
          <w:position w:val="6"/>
          <w:sz w:val="72"/>
          <w:szCs w:val="72"/>
          <w:lang w:eastAsia="zh-CN"/>
        </w:rPr>
        <w:t>件</w:t>
      </w: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color w:val="FF0000"/>
          <w:spacing w:val="-46"/>
          <w:sz w:val="68"/>
          <w:szCs w:val="68"/>
        </w:rPr>
      </w:pPr>
    </w:p>
    <w:p>
      <w:pPr>
        <w:pStyle w:val="17"/>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b w:val="0"/>
          <w:bCs/>
          <w:spacing w:val="0"/>
          <w:w w:val="100"/>
          <w:sz w:val="32"/>
          <w:szCs w:val="32"/>
        </w:rPr>
        <w:t>湘人社</w:t>
      </w:r>
      <w:r>
        <w:rPr>
          <w:rFonts w:hint="eastAsia" w:eastAsia="仿宋_GB2312" w:cs="Times New Roman"/>
          <w:b w:val="0"/>
          <w:bCs/>
          <w:spacing w:val="0"/>
          <w:w w:val="100"/>
          <w:sz w:val="32"/>
          <w:szCs w:val="32"/>
          <w:lang w:eastAsia="zh-CN"/>
        </w:rPr>
        <w:t>规</w:t>
      </w:r>
      <w:r>
        <w:rPr>
          <w:rFonts w:hint="default" w:ascii="Times New Roman" w:hAnsi="Times New Roman" w:eastAsia="仿宋_GB2312" w:cs="Times New Roman"/>
          <w:b w:val="0"/>
          <w:bCs/>
          <w:spacing w:val="0"/>
          <w:w w:val="100"/>
          <w:sz w:val="32"/>
          <w:szCs w:val="32"/>
        </w:rPr>
        <w:t>〔20</w:t>
      </w:r>
      <w:r>
        <w:rPr>
          <w:rFonts w:hint="default" w:ascii="Times New Roman" w:hAnsi="Times New Roman" w:eastAsia="仿宋_GB2312" w:cs="Times New Roman"/>
          <w:b w:val="0"/>
          <w:bCs/>
          <w:spacing w:val="0"/>
          <w:w w:val="100"/>
          <w:sz w:val="32"/>
          <w:szCs w:val="32"/>
          <w:lang w:val="en-US" w:eastAsia="zh-CN"/>
        </w:rPr>
        <w:t>20</w:t>
      </w:r>
      <w:r>
        <w:rPr>
          <w:rFonts w:hint="default" w:ascii="Times New Roman" w:hAnsi="Times New Roman" w:eastAsia="仿宋_GB2312" w:cs="Times New Roman"/>
          <w:b w:val="0"/>
          <w:bCs/>
          <w:spacing w:val="0"/>
          <w:w w:val="100"/>
          <w:sz w:val="32"/>
          <w:szCs w:val="32"/>
        </w:rPr>
        <w:t>〕</w:t>
      </w:r>
      <w:r>
        <w:rPr>
          <w:rFonts w:hint="eastAsia" w:eastAsia="仿宋_GB2312" w:cs="Times New Roman"/>
          <w:b w:val="0"/>
          <w:bCs/>
          <w:spacing w:val="0"/>
          <w:w w:val="100"/>
          <w:sz w:val="32"/>
          <w:szCs w:val="32"/>
          <w:lang w:val="en-US" w:eastAsia="zh-CN"/>
        </w:rPr>
        <w:t>18</w:t>
      </w:r>
      <w:r>
        <w:rPr>
          <w:rFonts w:hint="default" w:ascii="Times New Roman" w:hAnsi="Times New Roman" w:eastAsia="仿宋_GB2312" w:cs="Times New Roman"/>
          <w:b w:val="0"/>
          <w:bCs/>
          <w:spacing w:val="0"/>
          <w:w w:val="100"/>
          <w:sz w:val="32"/>
          <w:szCs w:val="32"/>
        </w:rPr>
        <w:t>号</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kern w:val="0"/>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121285</wp:posOffset>
                </wp:positionV>
                <wp:extent cx="5905500" cy="0"/>
                <wp:effectExtent l="0" t="9525" r="0" b="9525"/>
                <wp:wrapNone/>
                <wp:docPr id="3" name="直接连接符 3"/>
                <wp:cNvGraphicFramePr/>
                <a:graphic xmlns:a="http://schemas.openxmlformats.org/drawingml/2006/main">
                  <a:graphicData uri="http://schemas.microsoft.com/office/word/2010/wordprocessingShape">
                    <wps:wsp>
                      <wps:cNvCnPr/>
                      <wps:spPr>
                        <a:xfrm>
                          <a:off x="937260" y="3706495"/>
                          <a:ext cx="5905500" cy="0"/>
                        </a:xfrm>
                        <a:prstGeom prst="line">
                          <a:avLst/>
                        </a:prstGeom>
                        <a:ln w="1905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9.55pt;height:0pt;width:465pt;z-index:251658240;mso-width-relative:page;mso-height-relative:page;" filled="f" stroked="t" coordsize="21600,21600" o:gfxdata="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Tt6rfUAAAACQEAAA8AAAAAAAAAAQAgAAAAIgAAAGRycy9kb3ducmV2LnhtbFBLAQIUABQA&#10;AAAIAIdO4kBM6g+99AEAAL0DAAAOAAAAAAAAAAEAIAAAACMBAABkcnMvZTJvRG9jLnhtbFBLBQYA&#10;AAAABgAGAFkBAACJBQ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湖南省人力资源和社会保障厅</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关于规范性文件清理结果的通告</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湖南省规范性文件管理办法》（省人民政府第242号令）、《关于印发&lt;加强规范性文件合法性审查和公平性审查的意见&gt;的通知》(湘人社办发〔2017〕1号)的要求，我厅对现行规范性文件进行了全面清理。现将有关清理结果公告如下：</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一、确定《关于进一步明确援藏援疆专业技术人员职称评聘有关政策的通知》等2</w:t>
      </w:r>
      <w:r>
        <w:rPr>
          <w:rFonts w:hint="eastAsia" w:ascii="Times New Roman" w:hAnsi="Times New Roman" w:eastAsia="仿宋_GB2312" w:cs="Times New Roman"/>
          <w:sz w:val="32"/>
          <w:szCs w:val="32"/>
          <w:lang w:val="en-US" w:eastAsia="zh-CN"/>
        </w:rPr>
        <w:t>45</w:t>
      </w:r>
      <w:r>
        <w:rPr>
          <w:rFonts w:hint="eastAsia" w:ascii="Times New Roman" w:hAnsi="Times New Roman" w:eastAsia="仿宋_GB2312" w:cs="Times New Roman"/>
          <w:sz w:val="32"/>
          <w:szCs w:val="32"/>
        </w:rPr>
        <w:t>件规范性文件继续有效（见附件1）。</w:t>
      </w:r>
    </w:p>
    <w:p>
      <w:pPr>
        <w:keepNext w:val="0"/>
        <w:keepLines w:val="0"/>
        <w:pageBreakBefore w:val="0"/>
        <w:widowControl w:val="0"/>
        <w:kinsoku/>
        <w:wordWrap/>
        <w:overflowPunct/>
        <w:topLinePunct w:val="0"/>
        <w:autoSpaceDE/>
        <w:autoSpaceDN/>
        <w:bidi w:val="0"/>
        <w:adjustRightInd w:val="0"/>
        <w:snapToGrid w:val="0"/>
        <w:spacing w:after="0" w:line="592" w:lineRule="exact"/>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二、废止《关于印发&lt;湖南省机关事业单位工勤技能岗位考核实施办法&gt;的通知》等2件规范性文件（见附件2）。</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上述废止的规范性文件，自本通告发布之日起不再执行。全省各级人力资源和社会保障主管部门要认真贯彻执行，并切实做好有关规范性文件废止后的后续管理工作。上述确认继续有效的规范性文件，自本公告发布之日起重新计算有效期。</w:t>
      </w:r>
    </w:p>
    <w:p>
      <w:pPr>
        <w:keepNext w:val="0"/>
        <w:keepLines w:val="0"/>
        <w:pageBreakBefore w:val="0"/>
        <w:widowControl w:val="0"/>
        <w:kinsoku/>
        <w:wordWrap/>
        <w:overflowPunct/>
        <w:topLinePunct w:val="0"/>
        <w:autoSpaceDE/>
        <w:autoSpaceDN/>
        <w:bidi w:val="0"/>
        <w:adjustRightInd w:val="0"/>
        <w:snapToGrid w:val="0"/>
        <w:spacing w:after="0" w:line="592" w:lineRule="exact"/>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特此通告。</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附件：1.确认继续有效的规范性文件目录</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1609" w:firstLineChars="503"/>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2.决定废止的规范性文件目录 </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92"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湖南省人力资源和社会保障厅</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4806" w:firstLineChars="1502"/>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1"/>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keepNext w:val="0"/>
        <w:keepLines w:val="0"/>
        <w:pageBreakBefore w:val="0"/>
        <w:widowControl w:val="0"/>
        <w:kinsoku/>
        <w:wordWrap/>
        <w:overflowPunct/>
        <w:topLinePunct w:val="0"/>
        <w:autoSpaceDE/>
        <w:autoSpaceDN/>
        <w:bidi w:val="0"/>
        <w:adjustRightInd/>
        <w:snapToGrid/>
        <w:spacing w:after="157" w:afterLines="50" w:line="592"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w:t>
      </w:r>
      <w:r>
        <w:rPr>
          <w:rFonts w:hint="eastAsia" w:ascii="Times New Roman" w:hAnsi="Times New Roman" w:eastAsia="仿宋_GB2312" w:cs="Times New Roman"/>
          <w:sz w:val="32"/>
          <w:szCs w:val="32"/>
        </w:rPr>
        <w:t>法规处</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overflowPunct/>
        <w:topLinePunct w:val="0"/>
        <w:autoSpaceDE/>
        <w:autoSpaceDN/>
        <w:bidi w:val="0"/>
        <w:spacing w:line="592" w:lineRule="exact"/>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spacing w:line="620" w:lineRule="exact"/>
        <w:rPr>
          <w:rFonts w:ascii="黑体" w:hAnsi="黑体" w:eastAsia="黑体" w:cs="黑体"/>
          <w:sz w:val="32"/>
          <w:szCs w:val="32"/>
        </w:rPr>
      </w:pPr>
      <w:r>
        <w:rPr>
          <w:rFonts w:hint="eastAsia" w:ascii="黑体" w:hAnsi="黑体" w:eastAsia="黑体" w:cs="黑体"/>
          <w:sz w:val="32"/>
          <w:szCs w:val="32"/>
        </w:rPr>
        <w:t>附件1</w:t>
      </w:r>
    </w:p>
    <w:p>
      <w:pPr>
        <w:spacing w:afterLines="50" w:line="620" w:lineRule="exact"/>
        <w:jc w:val="center"/>
        <w:rPr>
          <w:rFonts w:hint="eastAsia" w:ascii="方正小标宋简体" w:hAnsi="楷体" w:eastAsia="方正小标宋简体"/>
          <w:sz w:val="36"/>
          <w:szCs w:val="36"/>
        </w:rPr>
      </w:pPr>
      <w:r>
        <w:rPr>
          <w:rFonts w:hint="eastAsia" w:ascii="方正小标宋简体" w:hAnsi="楷体" w:eastAsia="方正小标宋简体"/>
          <w:sz w:val="36"/>
          <w:szCs w:val="36"/>
        </w:rPr>
        <w:t>确认继续有效的规范性文件目录</w:t>
      </w:r>
    </w:p>
    <w:tbl>
      <w:tblPr>
        <w:tblStyle w:val="8"/>
        <w:tblW w:w="8919" w:type="dxa"/>
        <w:tblInd w:w="0" w:type="dxa"/>
        <w:shd w:val="clear" w:color="auto" w:fill="auto"/>
        <w:tblLayout w:type="autofit"/>
        <w:tblCellMar>
          <w:top w:w="0" w:type="dxa"/>
          <w:left w:w="0" w:type="dxa"/>
          <w:bottom w:w="0" w:type="dxa"/>
          <w:right w:w="0" w:type="dxa"/>
        </w:tblCellMar>
      </w:tblPr>
      <w:tblGrid>
        <w:gridCol w:w="1390"/>
        <w:gridCol w:w="2172"/>
        <w:gridCol w:w="5357"/>
      </w:tblGrid>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序号</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文号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文件标题</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（78）湘劳字第035号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湖南省革命委员会劳动工资局《关于集体医疗机构卫生人员调到全民单位工作后的工龄计算问题的复函》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〔79〕湘劳福字第073号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湖南省劳动局《同意石灰厂的人力锤工、运输工、烧灰装坯工、出灰工、炮工列为特别繁重体力劳动的复函》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〔79〕湘劳福字第074号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湖南省劳动局《同意所属炸药、综合金库仓库的人力搬运装卸、码垛工列为特别繁重体力劳动的复函》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（79）湘劳福字第124号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湖南省劳动厅《同意机械工业熔铁工等三十三个工种列为高温、高空、特别繁重体力劳动和有毒有害作业工种的复函》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（80）湘劳福字第082号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湖南省劳动局同意煤炭系统部分工种列为高空、高温、特别繁重体力劳动和有毒有害工种的复函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〔80〕湘劳函字第050号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湖南省劳动局《关于亦工亦农人员工龄计算问题的复函》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（81）湘劳福字076号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湖南省劳动局同意煤炭工业高空、高温、有毒有害工种范围的复函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（81)湘劳福字第199号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湖南省劳动局《关于同意废金属回收的选材工等三种工种列为特别繁重体力劳动工种的复函》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(81)湘劳函字第005号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湖南省劳动局《关于同意郴州林机厂手锤锻工列为繁重体力劳动工种的复函》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〔81〕湘劳函字第032号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湖南省劳动局《关于同意将地质钻探工、钻探设备安装工列为特别繁重体力劳动的复函》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(81)湘劳函福字第041号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湖南省劳动厅《关于同意陶瓷工业从事圆窑、方窑、阶梯窑、龙窑作业的烧窑等工种列为高温工种的复函》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(83)湘劳福字第040号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湖南省劳动局《关于临时工在本单位被录用为固定工后工龄计算问题的通知》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(83)湘劳福字第041号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湖南省劳动局、湖南省人事局《关于税务助征员转为国家税务人员后工龄计算问题的复函》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(83)湘劳福字第042号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湖南省劳动局《关于区、社广播站机线员转为国家职工后工龄计算的复函》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(83）湘劳福字第054号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湖南省劳动局《关于从国营农、林、牧、渔场等事业单位顶指标抽调城镇上山下乡知识青年到全民单位工作工龄计算问题的通知》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（83）湘劳福字第143号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湖南省劳动局印发劳动人事部《关于“贯彻国务院关于老干部离职休养规定中具体问题的处理意见”的问题解答》的通知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（83）湘劳福函字第018号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湖南省劳动局《同意六〇一矿炼钢等八个工种列为试行提前退休工种的复函》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湘劳人发〔1983〕012号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湖南省劳动人事厅《同意交通部门疏竣管线工等十六个工种提前退休的复函》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湘劳人发〔1983〕48号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湖南省劳动人事厅《从国营农、林、牧、渔场等企、事业单位顶指标招收到县以上集体单位工作的城镇上山下乡知青计算连续工龄的复函》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湘劳人发〔1983〕49号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湖南省劳动人事厅《关于建材工业烘干窑看火工等五十一个工种试行提前退休的复函》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湘劳人函〔1984〕54号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湖南省劳动人事厅《关于同意将机动锻工等九个工种列为提前退休工种的复函》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湘劳人险〔1984〕165号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湖南省劳动人事厅《转发劳动人事部《关于印发两个“说明”的通知》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湘劳人险〔1984〕225号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湖南省劳动人事厅《关于“社来社去”大中专毕业生录用为国家职工后的工龄计算问题的通知》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湘劳人险〔1985〕236号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湖南省劳动人事厅《关于转发劳动人事部〈关于解决原下乡知识青年插队期间工龄计算的通知〉及贯彻执行的几点意见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湘劳人险〔1985〕258号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湖南省劳动人事厅《关于若干工龄计算问题的处理意见》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湘劳人险〔1985〕283号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湖南省劳动人事厅《关于原私营企业转为公私合营企业以及解放后私立学校改为公立学校的职工的工龄津贴计发问题的通知》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湘劳人险〔1985〕310号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湖南省劳动人事厅《关于职工因冤假错案处理回乡其原受株连随迁子女工龄计算问题的意见》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湘劳人险〔1985〕311号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湖南省劳动人事厅《关于贯彻执行湘劳人险〔1985〕236号文件若干问题的补充规定》</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湘劳人函〔1985〕112号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湖南省劳动人事厅《关于省棉干班学员工龄计算问题的函》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（85）湘卫人字第114号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湖南省卫生厅、省劳动人事厅《关于乡村医生工龄计算问题的通知》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湘劳人干〔1986〕239号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湖南省委组织部、省劳动人事厅等部门关于印发《乡镇招收干部实行聘用制的暂行规定》</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湘劳人险〔1986〕46号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湖南省劳动人事厅《关于湘劳人险〔1985〕258号文件几个问题的说明》</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湘劳人险〔1986〕54号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湖南省劳动人事厅、省教育委员会《关于民办教师进入师范以外的院校学习毕业后继续任教的工龄计算问题的通知》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湘劳人函〔1986〕57号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湖南省劳动人事厅《对湘劳人险〔1985〕258号文件中有关问题的复函》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(86)湘劳人险便字第339号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湖南省劳动人事厅《同意铁路系统在我省境内从事铸造工等三个工种退休时作特殊工种对待的函》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湘劳人调（1987）72号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湖南省劳动人事厅《关于全民所有制单位顶指标从集体所有制单位调入工人的实行办法的通知》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湘劳人函〔1987〕55号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湖南省劳动人事厅《关于乡（镇）聘用制干部录用、招收为国家职工后工龄计算问题的复函》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湘劳人函〔1987〕70号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湖南省劳动人事厅《关于国家职工一九七九年以后进入大中专院校学习期间工龄计算问题的复函》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39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湘劳人险〔1987〕204号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湖南省劳动人事厅《转发国家教委“关于民办教师工龄计算问题的复函”的通知》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湘劳人险〔1987〕501号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湖南省劳动人事厅《关于民办教师工龄计算问题的复函》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湘劳险〔1988〕6号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湖南省劳动厅《关于国营农、林、牧、渔场长期临时工被本场转为固定职工的工龄计算问题的复函》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湘劳险〔1988〕55号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湖南省劳动厅《关于解决原下乡城镇知识青年插队期间工龄计算问题的补充通知》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湘劳险〔1988〕82号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湖南省劳动厅、湖南省林业厅《关于国营林场自然增长职工工龄计算问题的通知》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湘劳险〔1988〕296号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湖南省劳动厅、省人事厅《关于如何确定建国后因组织原因间断过工作的国家职工参加工作时间问题的通知》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湘劳人计（1988）128号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湖南省劳动人事厅、省计划委员会《关于印发清理解决计划外用工实施办法的通知》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湘劳社险〔1989〕71号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湖南省劳动厅《关于劳动合同制工人退休养老基金收缴、管理若干具体问题的处理意见》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湘劳函〔1989〕8号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湖南省劳动厅《关于将军龄计入“本企业连续工龄”并享受有关保险福利待遇的复函》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湘劳社险〔1990〕65号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湖南省劳动厅《&lt;关于劳动合同制工人退休养老金收缴、管理若干具体问题的处理意见&gt;的补充意见》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49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湘人险〔1993〕32号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关于调整省直机关福利费提取标准和管理办法的通知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湘人薪〔1993〕85号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湖南省人事厅关于省教科所等单位的专职教师和实验教师提高10%工资标准的批复</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湘人险〔1994〕104号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湖南省人事厅、省劳动厅《转发人事部、劳动部〈关于1966至1969级大中专学生参加工作时间及工龄计算问题的通知〉的通知》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湘劳〔1995〕19号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湖南省劳动厅《关于1995年调整企业离退休人员离退休金若干具体问题的处理意见》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湘劳〔1996〕336号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《关于省直管企业集体所有制职工补缴养老费问题的通知》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湘人函〔1997〕32号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关于畏罪自杀人员死亡后可否享受一次性抚恤费及遗属生活困难补助费的复函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湘劳〔1997〕148号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中共湖南省委组织部、省劳动厅、中共湖南省委老干部局、省人事厅、省财政厅《关于贯彻落实湘办发〔1997〕2号文件的补充通知》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湘劳〔1997〕191号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湖南省劳动厅《关于省直统筹企业贯彻湘办发〔1997〕2号文件实施意见的通知》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湘劳函〔1997〕148号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湖南省劳动厅关于对交通行业特殊工作提前退休的复函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湘劳〔1998〕55号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《关于统一企业职工基本养老保险制度中若干政策问题的处理意见》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59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湘劳办〔1998〕4号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湖南省劳动厅办公室《关于1997年调整企业离休人员基本养老金有关审批工作的通知》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湘劳社〔1999〕89号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湖南省劳动和社会保障厅《关于严格执行“劳动和社会保障部关于制止和纠正违反国家规定办理职工提前退休有关问题的通知”的通知》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湘劳社〔1999〕217号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湖南省劳动和社会保障厅《关于审批1999年调整企业离退休人员基本养老金等有关问题的通知》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湘劳社发〔2000〕55号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湖南省劳动和社会保障厅、省财政厅《关于企业单位离休人员比照湘人发〔1999〕143号文件规定调整基本养老金的通知》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湘劳社发〔2000〕245号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湖南省劳动和社会保障厅《湖南省技术能手评选表彰管理办法》</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湘劳社发〔2000〕265号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湖南省劳动和社会保障厅《关于省属技术开发科研机构转制后职工养老保险问题的处理意见》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湘劳社函〔2000〕113号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湖南省劳动和社会保障厅、省财政厅《关于企业离休人员基本养老金调整后如何计发1—2月生活补贴问题给省邮电管理局的复函》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湘劳社〔2001〕37号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湖南省劳动和社会保障厅《关于中央在湘转制工程勘察设计单位和科研单位职工养老保险问题的处理意见》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湘劳社发〔2001〕97号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《关于省直管单位贯彻湘劳社发〔2001〕17号文件若干问题的处理意见》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湘劳社发〔2001〕103号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湖南省劳动和社会保障厅、财政厅、省人事厅《转发劳动和社会保障部等三部〈关于解决两航起义人员退休待遇问题的通知〉》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69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湘劳社发〔2001〕121号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湖南省劳动和社会保障厅《关于中央在湘、省属转制科研单位和工程勘察设计单位职工养老保险问题的补充通知》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湘劳社发〔2001〕164号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湖南省劳动和社会保障厅关于印发《湖南省职业技能鉴定所（站）管理办法》的通知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湘劳社发〔2001〕249号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转发劳动和社会保障部、财政部关于提高企业离休人员基本养老金水平的通知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湘劳社发〔2001〕302号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湖南省劳动和社会保障厅《关于不得对参加了养老保险社会统筹已经按月领取基本养老金的退休人员一次性结算退休费用的通知》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湘劳社函〔2001〕156号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湖南省劳动和社会保障厅《关于国营二七二退休职工反映有毒有害工龄待遇问题的复函》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湘劳社发〔2002〕38号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湖南省劳动和社会保障厅、省财政厅《转发劳动保障部、财政部关于从2001年10月1日起增加企业离休人员基本养老金的通知》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湘劳社发〔2002〕47号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湖南省劳动和社会保障厅、省财政厅《关于2001年调整企业退休人员基本养老金的通知》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湘劳社发〔2002〕56号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《关于统一全省企业和职工个人缴纳基本养老保险费比例有关问题的通知》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湘劳社发〔2002〕66号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关于印发《湖南省协调劳动关系三方会议制度》的通知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湘劳社发〔2002〕68号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《关于完善城镇职工基本养老保险政策有关问题的通知》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79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湘劳社发〔2002〕75号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湖南省劳动和社会保障厅、省人事厅、省财政厅、省科学技术厅、省建设厅转发劳动保障部等5部门《关于转制科研机构和工程勘察设计单位转制前离退休人员的待遇调整问题的通知》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湘劳社发〔2002〕85号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湖南省劳动和社会保障厅《关于加强企业职工档案管理的通知》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湘劳社发〔2002〕91号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《湖南省劳动和社会保障厅、湖南省财政厅、湖南省人事厅、湖南机构编制委员会办公室&lt;转发国家劳动保障部等四部关于职工在机关事业单位与企业之间流动时社会保险关系处理意见的通知&gt;》</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湘劳社发〔2002〕124号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湖南省劳动和社会保障厅《关于企业离休人员病故后丧葬补助费和一次性抚恤金参照机关标准执行的通知》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湘劳社发〔2002〕141号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关于印发《湖南省失业保险金申领发放办法》的通知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湘劳社发〔2002〕188号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关于规范企业经济性裁减人员的实施意见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湘劳社发〔2002〕192号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湖南省劳动和社会保障厅、财政厅《关于2002年调整企业退休人员基本养老金水平的通知》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湘劳社函〔2002〕258号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湖南省劳动和社会保障厅《对潭劳社字〔2002〕22号请示的复函》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湘劳社函〔2002〕260号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湖南省劳动和社会保障厅对衡南县劳动保障局《关于企业化管理事业单位养老保险待遇有关问题的请示》的复函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湘人发〔2002〕118号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关于印发《关于深化我省事业单位内部收入分配制度改革的试行意见》的通知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89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湘劳社发〔2003〕145号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关于贯彻落实《禁止使用童工规定》的通知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湘劳社发〔2003〕103号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湖南省劳动和社会保障厅《关于养老保险省直管单位职工解除（终止）劳动关系后养老保险关系接续有关问题的通知》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湘劳社发〔2003〕165号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湖南省劳动和社会保障厅《关于贯彻省人民政府办公厅湘政办发〔2003〕24号文件有关养老保险问题的实施意见》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湘劳社函〔2003〕160号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湖南省劳动和社会保障厅《关于纺织档车工提休问题给娄底市劳动和社会保障局的复函》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湘劳社函〔2003〕245号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湖南省劳动和社会保障厅《关于桃江稀土金属冶炼厂从事放射性有毒有害作业人员享受提前退休退养待遇的意见》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湘劳社政字〔2004〕3号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湖南省劳动和社会保障厅、省财政厅《关于增加企业离休人员基本养老金的通知》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湘劳社政字〔2004〕19号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湖南省劳动和社会保障厅、省财政厅、省农业厅《关于进一步做好国有农垦企业职工基本养老保险工作的通知》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湘劳社政字〔2004〕25号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关于工伤保险基金支付项目等有关问题的补充规定</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湘劳社政字〔2004〕43号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湖南省劳动保障厅、财政厅《关于从2004年7月1日起增加企业退休人员基本养老金的通知》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湘劳社函〔2004〕19号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湖南省劳动和社会保障厅《关于对衡阳市劳动和社会保障局衡劳社〔2003〕116号请示的复函》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99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湘人发〔2004〕35号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关于印发《建造师执业资格考试实施办法》和《建造师执业资格考核认定办法》的通知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湘人发〔2004〕97号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关于印发《湖南省二级建造师执业资格考试实施办法》和《湖南省二级建造师执业资格考核认定办法》的通知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湘人发〔2004〕118号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关于印发《湖南省优秀高层次专业技术人才评选办法》的通知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湘人发〔2004〕140号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关于暂停办理事业单位工作人员因工（公）感染血吸虫病评残工作的通知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关于从2004年7月1日起增加国有农垦企业退休人员基本养老金的通知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湖南省劳动和社会保障厅《关于企业离退休人员养老金发放工作有关问题的通知》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湘劳社政字〔2005〕11号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关于印发《湖南省劳动保障系统信访处理工作规定（试行）及信访文书格式》的通知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关于工伤保险工作若干问题的补充意见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湘劳社政字〔2005〕15号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关于印发《湖南省工伤保险基金部分项目支付管理暂行办法》的通知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湘劳社政字〔2005〕20号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关于做好夏季高温劳动保护工作的紧急通知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109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湘劳社政字〔2005〕25号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关于调整企业艰苦岗位津贴参考标准的通知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湘劳社政字〔2005〕26号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关于调整企业中夜班津贴参考标准的通知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湘劳社政字〔2005〕29号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湖南省劳动和社会保障厅、省财政厅、省农业厅《关于国有农垦企业中建国前参加革命工作老工人退休待遇问题的处理意见》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湘劳社工字〔2005〕49号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湖南省劳动和社会保障厅关于印发《湖南省职业技能竞赛管理办法》的通知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湘劳社函〔2005〕274号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湖南省劳动和社会保障厅《关于企业军转干部养老保险缴费基数问题给长沙市劳动和社会保障局的复函》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湘人发〔2005〕76号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关于湘西地区建立特聘专家岗位制度的实施意见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湘劳社政字〔2006〕10号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湖南省劳动和社会保障厅、省财政厅《湖南省关于改革企业职工基本养老金计发办法的实施意见》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湘劳社政字〔2006〕12号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关于省属国有改革改制企业职工工伤费用预留的意见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《关于完善企业职工基本养老保险若干政策问题的意见》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湘劳社政字〔2006〕16号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《关于城镇个体工商户灵活就业人员缴纳基本养老保险费有关问题的通知》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119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湘劳社政字〔2006〕18号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关于因工负伤人员待遇审核工作有关问题的通知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湘劳社政字〔2006〕20号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湖南省劳动和社会保障厅、省财政厅《关于2005年调整企业退休人员基本养老金的通知》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湘劳社政字〔2006〕21号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湖南省劳动和社会保障厅、省财政厅《关于2006年调整企业退休人员基本养老金的通知》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湘劳社政字〔2006〕27号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湖南省劳动和社会保障厅、财政厅《关于调整企业离休人员基本养老金的通知》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湘劳社政字〔2006〕28号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《关于机关事业单位编制外聘用人员和民办非企业单位工作人员参加企业职工基本养老保险的通知》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湘劳社政字〔2006〕29号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关于事业单位、民间组织工作人员参加工伤保险有关问题的通知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湘劳社函〔2006〕260号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湖南省劳动和社会保障厅《关于对娄底市劳动和社会保障局娄劳社〔2006〕146号请示的复函》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湘劳社函〔2006〕315号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《湖南省劳动和社会保障厅对新宁县劳动保障局新劳社呈字〔2006〕3号请示的复函》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湘人发〔2006〕135号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关于印发《湖南省事业单位工作人员收入分配制度改革实施意见》的通知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湘人发〔2006〕136号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关于印发《湖南省机关事业单位离退休人员增加离退休费和计发离退休费等问题的实施意见》的通知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129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湘人发〔2006〕137号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关于印发《湖南省完善艰苦边远地区津贴制度实施意见》的通知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湘人发〔2006〕147号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关于湖南省机关事业单位工作人员工资收入分配制度改革实施中有关问题的处理意见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关于印发《湖南省失业保险调剂金管理办法》的通知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湖南省劳动和社会保障厅、财政厅《关于2007年调整企业退休人员基本养老金的通知》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湘劳社政字〔2007〕10号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湖南省劳动和社会保障厅、财政厅《关于2007年调整国有农垦企业退休人员基本养老金的通知》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关于省属国有改革改制企业职工安置费用预留问题的补充意见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湘劳社政字〔2007〕14号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关于做好老工伤人员有关待遇工作的指导意见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湘劳社政字〔2007〕17号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关于工伤保险待遇有关问题的通知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湘劳社工字〔2007〕1号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关于推行女职工权益保护专项集体合同工作的意见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湘劳社工字〔2007〕60号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湖南省劳动和社会保障厅转发劳动保障部关于建立劳动用工备案制度的通知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139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湘劳社工字〔2007〕113号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关于印发《湖南省企业养老保险经办机构内部控制规定（试行）》的通知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湘劳社函〔2007〕20号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《湖南省劳动和社会保障厅对&lt;关于益阳石煤发电综合利用试验厂部分退休职工要求调资提高退休待遇问题的请示&gt;的复函》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湘劳社函〔2007〕224号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湖南省劳动和社会保障厅《关于对娄底市劳动和社会保障局娄劳社〔2007〕62号有关问题的复函》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湘劳社函〔2007〕296号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湖南省劳动和社会保障厅《关于公办学校编制外临时聘用人员和农村幼儿园工作人员参加社会保险有关问题的处理意见》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湘人发〔2007〕25号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关于对县以下基层单位工作的农林科技人员浮动及固定工资处理意见的补充通知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关于进一步做好机关事业单位工资和离退休日常管理工作的通知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湘人发〔2007〕68号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关于印发《湖南省地质勘探事业单位工作人员收入分配制度改革实施意见》的通知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湘人发〔2007〕69号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关于印发《湖南省测绘系统测绘队工作人员收入分配制度改革实施意见》的通知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湘人发〔2007〕130号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关于印发《湖南省科学研究事业单位贯彻&lt;事业单位工作人员收入分配制度改革方案&gt;的实施意见》的通知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湘人发〔2007〕131号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关于印发《湖南省高等学校、中小学、中等职业学校贯彻&lt;事业单位工作人员收入分配制度改革方案&gt;三个实施意见》的通知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149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关于印发《湖南省卫生事业单位贯彻&lt;事业单位工作人员收入分配制度改革方案&gt;的实施意见》的通知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湘人发〔2007〕168号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关于湘办发〔2006〕12号和湘办发〔2003〕87号文件有关退休工资待遇规定执行问题的答复意见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湘人发〔2007〕169号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关于印发《湖南省文化事业单位贯彻&lt;事业单位工作人员收入分配制度改革方案&gt;的实施意见》的通知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湘人发〔2007〕170号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关于印发《湖南省水产事业单位船员贯彻&lt;事业单位工作人员收入分配制度改革方案&gt;的实施意见》的通知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湘人发〔2007〕205号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关于印发《湖南省体育运动员贯彻&lt;事业单位工作人员收入分配制度改革方案&gt;的实施意见》的通知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湘人发〔2007〕212号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关于印发《湖南省交通水上作业事业单位工作人员贯彻&lt;事业单位工作人员收入分配制度改革方案&gt;的实施意见》的通知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湘劳社政字〔2008〕1号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湖南省劳动和社会保障厅、省财政厅《关于2008年调整企业退休人员基本养老金的通知》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湘劳社政字〔2008〕8号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湖南省劳动和社会保障厅、省民政厅《关于社会组织专职工作人员参加养老保险有关问题的通知》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关于印发《湖南省失业保险经办机构内部控制暂行规定》的通知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湘劳社工字〔2008〕16号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《关于印发湖南省企业职工基本养老保险缴费基数申报核定管理规定（试行）的通知》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159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湘劳社工字〔2008〕120号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湖南省劳动和社会保障厅关于下发《湖南省技师学院设立综合评估工作方案》的通知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湘劳社工字〔2008〕40 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湖南省劳动和社会保障厅、湖南省总工会、湖南省企业家协会《关于进一步建立企业工资集体协商谈判机制有关意见的通知》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关于我省企业工资集体协商有关问题的通知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湘劳社工字〔2008〕58号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关于建立工资集体协商指导员制度的通知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湘劳社工字〔2008〕60号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关于印发《湖南省社会保险基金举报奖励暂行办法》的通知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湘劳社工字〔2008〕76号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 湖南省总工会关于进一步规范全省用人单位工资集体协商基本程序的指导意见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湘劳社工字〔2008〕105号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关于中央下放关闭破产和省属改革国有企业工亡人员抚恤金和退休人员死亡救济费发放有关问题的通知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湘劳社函〔2008〕130号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湖南省劳动和社会保障厅《关于煤炭行业五项政策性补贴发放问题的复函》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湘劳社函〔2008〕216号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湖南省劳动和社会保障厅《对退休人员参加工作时间被重新认定后基本养老金能否补发问题的复函》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湘劳社政字〔2009〕1号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湖南省劳动保障厅、省财政厅《关于2009年调整企业退休人员基本养老金的通知》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169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湘劳社政字〔2009〕2号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湖南省人力资源和社会保障厅、财政厅《关于给企业建国前参加革命工作退休老工人增发生活补贴的通知》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湘劳社工字〔2009〕13号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 湖南省财政厅《关于个人缴纳城镇企业职工基本养老保险费凭证使用的通知》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湘劳社工字〔2009〕67号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湖南省劳动和社会保障厅《关于按省人民政府办公厅湘政发〔2009〕4号文件参保退休人员基本养老金计发问题的通知》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湘劳社工字〔2009〕111号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湖南省劳动和社会保障厅《关于国有农垦企业职工基本养老保险关系转移等有关问题的通知》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湘劳社函〔2009〕101号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湖南省劳动和社会保障厅《关于建国前参加革命工作薪金制退休人员待遇问题给巴陵石化的答复意见》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湘劳社办发{2009〕50号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湖南省劳动和社会保障厅关于印发《湖南省第一批企业养老保险经办业务工作流程（试行）的通知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湘劳社政字〔2010〕1号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湖南省劳动和社会保障厅、财政厅《关于2010年调整企业退休人员基本养老金的通知》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湘人社工字〔2010〕7号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湖南省人力资源和社会保障厅《关于全省城镇企业职工基本养老保险关系转移接续有关问题的处理意见》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湘劳社工字〔2010〕15号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湖南省劳动和社会保障厅关于印发《湖南省贯彻落实〈国务院办公厅转发人力资源社会保障部财政部城镇企业职工基本养老保险关系转移接续暂行办法〉工作方案》的通知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湘人社工字〔2010〕47号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湖南省人力资源和社会保障厅、财政厅《关于给企业建国前参加革命工作退休老工人增发生活补贴的通知》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179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湘人社工字〔2010〕92号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关于实行企业离退休人员自主选择银行领取养老金制度的通知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湘人社工字〔2010〕131号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关于印发湖南省公共卫生与基层医疗卫生事业单位绩效工资实施意见的通知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湘人社工发〔2010〕136号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关于启用新的机关事业单位《退休证》、《退职证》有关问题的通知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湖南省人力资源和社会保障厅、财政厅《关于2011年调整企业退休人员基本养老金的通知》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湘人社发〔2011〕11号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关于切实加强社会保险基金监督管理工作的通知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湘人社发〔2011〕75号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湖南省人力资源和社会保障厅、省财政厅《转发人力资源和社会保障部、财政部关于提高建国前参加工作的老工人生活补贴标准和扩大发放范围的通知》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湘人社发〔2011〕86号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 湖南省卫生厅关于印发《湖南省卫生事业单位岗位设置管理实施意见》的通知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湘人社发〔2011〕91号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湖南省人力资源和社会保障厅、省财政厅《关于规范完善企业职工因病完全丧失劳动能力和特殊工种提前退休有关问题的通知》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湘人社发〔2011〕97号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 湖南省教育厅关于印发《湖南省高等学校 义务教育学校 中等职业学校等教育事业单位岗位设置管理实施意见》的通知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湘人社发〔2011〕121号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湖南省人力资源和社会保障厅《关于城镇企业职工基本养老保险关系转移接续两个具体问题的通知》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189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湘人社发〔2011〕144号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湖南省人力资源和社会保障厅《关于对用人单位欠缴养老保险费加收滞纳金有关问题的通告》</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湘人社工字〔2011〕41号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湖南省人力资源和社会保障厅、财政厅《关于给企业建国前参加革命工作退休老工人增发生活补贴的通知》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湘人社函〔2011〕45号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湖南省人力资源和社会保障厅关于印发《兼职劳动人事争议仲裁员办案补助办法》的通知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湘人社函〔2011〕75号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湖南省人力资源和社会保障厅关于印发《湖南省事业单位岗位设置管理工作有关问题的处理意见》的通知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湘人社函〔2011〕90号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湖南省人力资源和社会保障厅《关于认真做好未参保城镇集体企业职工纳入基本养老保险有关问题的通知》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湘人社函〔2011〕502号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湖南省人力资源和社会保障厅《关于永州市原冷水滩纺织厂挡车工是否属于特殊工种的复函》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195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湘人社发〔2012〕40号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湖南省人力资源和社会保障厅、财政厅《关于2012年调整企业退休人员基本养老金的通知》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196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湘人社发〔2012〕55号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湖南省人力资源和社会保障厅关于印发《湖南省事业单位岗位管理动态调整试行办法》的通知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197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湘人社发〔2012〕66号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湖南省人力资源和社会保障厅、财政厅《关于给企业建国前参加革命工作退休老工人增发生活补贴的通知》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198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湘人社发〔2012〕110号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关于印发《湖南省劳动用工备案办法》的通知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199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湘人社发〔2012〕122号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中共湖南省委组织部、省委老干部局、省人力资源和社会保障厅、省财政厅《关于调整企事业单位离休人员死亡一次性抚恤金标准的通知》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湘人社函〔2012〕235号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湖南省人力资源和社会保障厅《关于乡镇畜牧水产站临时聘用人员参加城镇企业养老保险的复函》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湘人发〔2012〕84号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关于印发省属其他事业单位绩效工资实施办法的通知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湘人发〔2012〕104号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关于事业单位2005年12月29日前因工（公）伤残人员残疾抚恤待遇问题处理意见的通知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湘人社发〔2013〕15号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关于国有企业老工伤人员等纳入工伤保险统筹管理几个具体事项的指导意见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湘人社发〔2013〕40号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湖南省人力资源和社会保障厅、民政厅、财政厅《关于调整完善企业职工因病或非因工死亡有关待遇的通知》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湘人社发〔2013〕42号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湖南省人力资源和社会保障厅、省财政厅《关于2013年调整企业退休人员基本养老金的通知》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湘人社发〔2013〕80号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《关于稳妥做好养老保险费费率过渡试点工作的通知》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湘人社发〔2013〕85号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转发人力资源和社会保障部《关于执行〈工伤保险条例〉若干问题的意见》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湘人社发〔2013〕86号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湖南省人力资源和社会保障厅、省财政厅《关于调整我省机关事业单位工作人员死亡后丧葬费标准和遗属生活困难补助费标准有关问题的通知》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209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湘人社发〔2013〕95号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湖南省人力资源和社会保障厅《关于参加企业职工基本养老保险人员死亡个人账户继承有关问题的通知》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湘人社函〔2013〕261号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湖南省人力资源和社会保障厅《关于对湘劳社函〔2008〕216号适应范围的复函》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湘人社函〔2013〕264号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湖南省人力资源和社会保障厅《关于贯彻落实湘人社发〔2013〕40号文件有关问题的处理意见》</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湘人社函〔2013〕273号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湖南省人力资源和社会保障厅《关于对广铁（集团）公司特殊工种退休人员折算工龄有关问题的复函》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湘人社函〔2013〕293号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湖南省人力资源和社会保障厅《关于对企业职工养老保险退休人员试行长期居住地领取养老金的通知》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湘人社函〔2013〕416号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湖南省人力资源和社会保障厅《关于参加企业职工养老保险的女职工退休年龄有关问题的复函》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湘人社函〔2013〕453号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湖南省人力资源和社会保障厅《关于国有农垦企业参加职工基本养老保险有关政策的复函》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湘人社办发〔2013〕17 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转发人社部办公厅关于做好劳务派遣行政许可工作的通知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湘人社办发〔2013〕30号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关于印发《湖南省人力资源和社会保障厅群众来信办理工作试行办法》的通知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湘人社发〔2014〕11号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湖南省人力资源和社会保障厅、省财政厅、省民政厅《关于修改湘人社发〔2013〕40号文件的通知》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219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湘人社发〔2014〕21号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湖南省人力资源和社会保障厅、省财政厅《关于2014年调整企业退休人员基本养老金的通知》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湘人社发〔2014〕37号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 湖南省财政厅关于调整我省城乡居民基本养老保险基础养老金最低标准的通知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湘人社发〔2014〕46号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湖南省人力资源和社会保障厅《关于实行企业接受高校毕业生就业养老保险费率过渡试点有关问题的通知》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湖南省人力资源和社会保障厅关于印发《湖南省促进民办职业培训实施办法（修订）》的通知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湘人社发〔2014〕50号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湖南省人力资源和社会保障厅、财政厅《关于给企业建国前参加革命工作退休老工人增发生活补贴的通知》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湘人社发〔2014〕55号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关于印发《湖南省工伤保险费率浮动办法》的通知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湘人社发〔2014〕58号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关于印发《湖南省工伤职工配置辅助器具管理办法》和《湖南省工伤保险辅助器具配置项目目录和最高支付限额标准》的通知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湘人社发〔2014〕69号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关于用人单位工伤保险关系转移接续后待遇支付有关问题的通知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湘人社函〔2014〕70号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湖南省人力资源和社会保障厅《对郴州市人力资源和社会保障局〈关于精减下放人员工龄认定的请示〉的复函》</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湘人社函〔2014〕103号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 省教育厅 省卫生厅关于做好武陵山片区农村基层教育卫生中高级专业技术特聘岗位设置工作的通知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229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湘人社函〔2014〕302号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关于做好失业保险省级调剂金管理工作有关问题的通知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湘人社释函〔2014〕1号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湖南省人力资源和社会保障厅《关于原工残退休人员范围界定问题给赫山区人民法院的复函》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湘人社办发〔2014〕14号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关于印发《基层劳动人事争议调解工作规范》的通知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湘人社办发〔2014〕16号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关于印发《湖南省劳动人事争议仲裁弱势群体“绿色通道”制度（试行）的通知》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湘人社办发〔2014〕32号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湖南省人力资源和社会保障厅门户网站“厅长信箱”信件办理规则（试行）</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湖南省人力资源和社会保障厅《关于完善城镇企业职工基本养老保险参保人员退休审批工作的通知》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湘人社发〔2015〕14号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 湖南省财政厅关于做好城乡居民基本养老保险基础养老金最低标准调整工作的通知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236</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湘人社发〔2015〕21号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关于进一步明确援藏援疆专业技术人员职称评聘有关政策的通知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237</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湘人社发〔2015〕32号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 省财政厅《关于进一步加强职业能力建设工作的实施意见》</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238</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湘人社发〔2015〕35号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湖南省人力资源和社会保障厅、省财政厅《关于2015年调整企业退休人员基本养老金的通知》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239</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湘人社发〔2015〕47号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转发《中共中央组织部 人力资源社会保障部等五部门关于进一步加强流员人员人事档案管理服务工作的通知》的通知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240</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湘人发〔2015〕53号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关于印发《湖南省乡镇机关事业单位工作人员乡镇补贴实施办法》的通知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241</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湘人社发〔2015〕74号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湖南省人力资源和社会保障厅、省财政厅《关于从2014年10月1日起调整企业离休人员基本养老金的通知》</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242</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湘人社函〔2015〕304号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湖南省人力资源和社会保障厅关于做好我省离退休人员养老金领取资格认证工作的通知</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243</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湘人社办函〔2015〕4号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lang w:val="en-US" w:eastAsia="zh-CN"/>
              </w:rPr>
            </w:pPr>
            <w:r>
              <w:rPr>
                <w:rFonts w:hint="eastAsia" w:ascii="仿宋" w:hAnsi="仿宋" w:eastAsia="仿宋" w:cs="仿宋"/>
                <w:spacing w:val="-17"/>
                <w:w w:val="90"/>
                <w:szCs w:val="21"/>
                <w:lang w:val="en-US" w:eastAsia="zh-CN"/>
              </w:rPr>
              <w:t>关于协助做好省属参保单位退休人员养老金领取资格认证工作的函</w:t>
            </w:r>
          </w:p>
        </w:tc>
      </w:tr>
      <w:tr>
        <w:tblPrEx>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244</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湘人社发〔2016〕48号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《湖南省劳动人事争议仲裁办案若干标准（试行）》</w:t>
            </w:r>
          </w:p>
        </w:tc>
      </w:tr>
      <w:tr>
        <w:tblPrEx>
          <w:shd w:val="clear" w:color="auto" w:fill="auto"/>
          <w:tblCellMar>
            <w:top w:w="0" w:type="dxa"/>
            <w:left w:w="0" w:type="dxa"/>
            <w:bottom w:w="0" w:type="dxa"/>
            <w:right w:w="0" w:type="dxa"/>
          </w:tblCellMar>
        </w:tblPrEx>
        <w:trPr>
          <w:trHeight w:val="23"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245</w:t>
            </w:r>
          </w:p>
        </w:tc>
        <w:tc>
          <w:tcPr>
            <w:tcW w:w="21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center"/>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湘人社函〔2016〕270号</w:t>
            </w:r>
          </w:p>
        </w:tc>
        <w:tc>
          <w:tcPr>
            <w:tcW w:w="53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0" w:lineRule="atLeast"/>
              <w:jc w:val="left"/>
              <w:rPr>
                <w:rFonts w:hint="eastAsia" w:ascii="仿宋" w:hAnsi="仿宋" w:eastAsia="仿宋" w:cs="仿宋"/>
                <w:spacing w:val="-17"/>
                <w:w w:val="90"/>
                <w:szCs w:val="21"/>
              </w:rPr>
            </w:pPr>
            <w:r>
              <w:rPr>
                <w:rFonts w:hint="eastAsia" w:ascii="仿宋" w:hAnsi="仿宋" w:eastAsia="仿宋" w:cs="仿宋"/>
                <w:spacing w:val="-17"/>
                <w:w w:val="90"/>
                <w:szCs w:val="21"/>
                <w:lang w:val="en-US" w:eastAsia="zh-CN"/>
              </w:rPr>
              <w:t>湖南省人力资源和社会保障厅《关于“五证合一、一照一码”社会保险登记实施工作的通知》</w:t>
            </w:r>
          </w:p>
        </w:tc>
      </w:tr>
    </w:tbl>
    <w:p>
      <w:pPr>
        <w:pStyle w:val="2"/>
      </w:pPr>
    </w:p>
    <w:p>
      <w:pPr>
        <w:rPr>
          <w:rFonts w:ascii="黑体" w:hAnsi="黑体" w:eastAsia="黑体"/>
          <w:spacing w:val="-17"/>
          <w:w w:val="90"/>
          <w:sz w:val="36"/>
          <w:szCs w:val="36"/>
        </w:rPr>
      </w:pPr>
      <w:r>
        <w:rPr>
          <w:rFonts w:ascii="黑体" w:hAnsi="黑体" w:eastAsia="黑体"/>
          <w:spacing w:val="-17"/>
          <w:w w:val="90"/>
          <w:sz w:val="36"/>
          <w:szCs w:val="36"/>
        </w:rPr>
        <w:br w:type="page"/>
      </w:r>
    </w:p>
    <w:p>
      <w:pPr>
        <w:spacing w:line="620" w:lineRule="exact"/>
        <w:rPr>
          <w:rFonts w:ascii="黑体" w:hAnsi="黑体" w:eastAsia="黑体" w:cs="黑体"/>
          <w:sz w:val="32"/>
          <w:szCs w:val="32"/>
        </w:rPr>
      </w:pPr>
      <w:r>
        <w:rPr>
          <w:rFonts w:hint="eastAsia" w:ascii="黑体" w:hAnsi="黑体" w:eastAsia="黑体" w:cs="黑体"/>
          <w:sz w:val="32"/>
          <w:szCs w:val="32"/>
        </w:rPr>
        <w:t>附件2</w:t>
      </w:r>
    </w:p>
    <w:p>
      <w:pPr>
        <w:spacing w:afterLines="50" w:line="620" w:lineRule="exact"/>
        <w:jc w:val="center"/>
        <w:rPr>
          <w:rFonts w:ascii="方正小标宋简体" w:hAnsi="楷体" w:eastAsia="方正小标宋简体"/>
          <w:sz w:val="36"/>
          <w:szCs w:val="36"/>
        </w:rPr>
      </w:pPr>
      <w:r>
        <w:rPr>
          <w:rFonts w:hint="eastAsia" w:ascii="方正小标宋简体" w:hAnsi="楷体" w:eastAsia="方正小标宋简体"/>
          <w:sz w:val="36"/>
          <w:szCs w:val="36"/>
        </w:rPr>
        <w:t>决定废止的规范性文件目录</w:t>
      </w:r>
    </w:p>
    <w:tbl>
      <w:tblPr>
        <w:tblStyle w:val="9"/>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61"/>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dxa"/>
            <w:tcBorders>
              <w:tl2br w:val="nil"/>
              <w:tr2bl w:val="nil"/>
            </w:tcBorders>
            <w:vAlign w:val="center"/>
          </w:tcPr>
          <w:p>
            <w:pPr>
              <w:spacing w:line="0" w:lineRule="atLeast"/>
              <w:jc w:val="center"/>
              <w:rPr>
                <w:rFonts w:ascii="黑体" w:hAnsi="黑体" w:eastAsia="黑体"/>
                <w:spacing w:val="-17"/>
                <w:w w:val="90"/>
                <w:sz w:val="30"/>
                <w:szCs w:val="30"/>
              </w:rPr>
            </w:pPr>
            <w:r>
              <w:rPr>
                <w:rFonts w:hint="eastAsia" w:ascii="黑体" w:hAnsi="黑体" w:eastAsia="黑体"/>
                <w:spacing w:val="-17"/>
                <w:w w:val="90"/>
                <w:sz w:val="30"/>
                <w:szCs w:val="30"/>
              </w:rPr>
              <w:t>序号</w:t>
            </w:r>
          </w:p>
        </w:tc>
        <w:tc>
          <w:tcPr>
            <w:tcW w:w="1961" w:type="dxa"/>
            <w:tcBorders>
              <w:tl2br w:val="nil"/>
              <w:tr2bl w:val="nil"/>
            </w:tcBorders>
            <w:vAlign w:val="center"/>
          </w:tcPr>
          <w:p>
            <w:pPr>
              <w:spacing w:line="0" w:lineRule="atLeast"/>
              <w:jc w:val="center"/>
              <w:rPr>
                <w:rFonts w:ascii="黑体" w:hAnsi="黑体" w:eastAsia="黑体"/>
                <w:spacing w:val="-17"/>
                <w:w w:val="90"/>
                <w:sz w:val="30"/>
                <w:szCs w:val="30"/>
              </w:rPr>
            </w:pPr>
            <w:r>
              <w:rPr>
                <w:rFonts w:hint="eastAsia" w:ascii="黑体" w:hAnsi="黑体" w:eastAsia="黑体"/>
                <w:spacing w:val="-17"/>
                <w:w w:val="90"/>
                <w:sz w:val="30"/>
                <w:szCs w:val="30"/>
              </w:rPr>
              <w:t>文号</w:t>
            </w:r>
          </w:p>
        </w:tc>
        <w:tc>
          <w:tcPr>
            <w:tcW w:w="5919" w:type="dxa"/>
            <w:tcBorders>
              <w:tl2br w:val="nil"/>
              <w:tr2bl w:val="nil"/>
            </w:tcBorders>
            <w:vAlign w:val="center"/>
          </w:tcPr>
          <w:p>
            <w:pPr>
              <w:spacing w:line="0" w:lineRule="atLeast"/>
              <w:jc w:val="center"/>
              <w:rPr>
                <w:rFonts w:ascii="黑体" w:hAnsi="黑体" w:eastAsia="黑体"/>
                <w:spacing w:val="-17"/>
                <w:w w:val="90"/>
                <w:sz w:val="30"/>
                <w:szCs w:val="30"/>
              </w:rPr>
            </w:pPr>
            <w:r>
              <w:rPr>
                <w:rFonts w:hint="eastAsia" w:ascii="黑体" w:hAnsi="黑体" w:eastAsia="黑体"/>
                <w:spacing w:val="-17"/>
                <w:w w:val="90"/>
                <w:sz w:val="30"/>
                <w:szCs w:val="30"/>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dxa"/>
            <w:tcBorders>
              <w:tl2br w:val="nil"/>
              <w:tr2bl w:val="nil"/>
            </w:tcBorders>
            <w:vAlign w:val="center"/>
          </w:tcPr>
          <w:p>
            <w:pPr>
              <w:widowControl/>
              <w:jc w:val="center"/>
              <w:textAlignment w:val="center"/>
              <w:rPr>
                <w:rFonts w:hint="eastAsia" w:ascii="仿宋" w:hAnsi="仿宋" w:eastAsia="仿宋"/>
                <w:spacing w:val="-17"/>
                <w:w w:val="90"/>
                <w:szCs w:val="21"/>
                <w:lang w:val="en-US" w:eastAsia="zh-CN"/>
              </w:rPr>
            </w:pPr>
            <w:r>
              <w:rPr>
                <w:rFonts w:hint="eastAsia" w:ascii="仿宋" w:hAnsi="仿宋" w:eastAsia="仿宋"/>
                <w:spacing w:val="-17"/>
                <w:w w:val="90"/>
                <w:szCs w:val="21"/>
                <w:lang w:val="en-US" w:eastAsia="zh-CN"/>
              </w:rPr>
              <w:t>1</w:t>
            </w:r>
          </w:p>
        </w:tc>
        <w:tc>
          <w:tcPr>
            <w:tcW w:w="1961" w:type="dxa"/>
            <w:tcBorders>
              <w:tl2br w:val="nil"/>
              <w:tr2bl w:val="nil"/>
            </w:tcBorders>
            <w:shd w:val="clear" w:color="auto" w:fill="auto"/>
            <w:vAlign w:val="center"/>
          </w:tcPr>
          <w:p>
            <w:pPr>
              <w:spacing w:line="0" w:lineRule="atLeast"/>
              <w:jc w:val="center"/>
              <w:rPr>
                <w:rFonts w:ascii="仿宋" w:hAnsi="仿宋" w:eastAsia="仿宋"/>
                <w:spacing w:val="-17"/>
                <w:w w:val="90"/>
                <w:szCs w:val="21"/>
              </w:rPr>
            </w:pPr>
            <w:r>
              <w:rPr>
                <w:rFonts w:hint="eastAsia" w:ascii="仿宋" w:hAnsi="仿宋" w:eastAsia="仿宋"/>
                <w:spacing w:val="-17"/>
                <w:w w:val="90"/>
                <w:szCs w:val="21"/>
              </w:rPr>
              <w:t>湘人社函〔2016〕417号</w:t>
            </w:r>
          </w:p>
        </w:tc>
        <w:tc>
          <w:tcPr>
            <w:tcW w:w="5919" w:type="dxa"/>
            <w:tcBorders>
              <w:tl2br w:val="nil"/>
              <w:tr2bl w:val="nil"/>
            </w:tcBorders>
            <w:shd w:val="clear" w:color="auto" w:fill="auto"/>
            <w:vAlign w:val="center"/>
          </w:tcPr>
          <w:p>
            <w:pPr>
              <w:spacing w:line="0" w:lineRule="atLeast"/>
              <w:rPr>
                <w:rFonts w:ascii="仿宋" w:hAnsi="仿宋" w:eastAsia="仿宋"/>
                <w:spacing w:val="-17"/>
                <w:w w:val="90"/>
                <w:szCs w:val="21"/>
              </w:rPr>
            </w:pPr>
            <w:r>
              <w:rPr>
                <w:rFonts w:hint="eastAsia" w:ascii="仿宋" w:hAnsi="仿宋" w:eastAsia="仿宋"/>
                <w:spacing w:val="-17"/>
                <w:w w:val="90"/>
                <w:szCs w:val="21"/>
              </w:rPr>
              <w:t>湖南省人力资源和社会保障厅关于做好社会保障卡建设资金结算有关问题的通知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0" w:type="dxa"/>
            <w:tcBorders>
              <w:tl2br w:val="nil"/>
              <w:tr2bl w:val="nil"/>
            </w:tcBorders>
            <w:vAlign w:val="center"/>
          </w:tcPr>
          <w:p>
            <w:pPr>
              <w:widowControl/>
              <w:jc w:val="center"/>
              <w:textAlignment w:val="center"/>
              <w:rPr>
                <w:rFonts w:hint="eastAsia" w:ascii="仿宋" w:hAnsi="仿宋" w:eastAsia="仿宋"/>
                <w:spacing w:val="-17"/>
                <w:w w:val="90"/>
                <w:szCs w:val="21"/>
                <w:lang w:val="en-US" w:eastAsia="zh-CN"/>
              </w:rPr>
            </w:pPr>
            <w:r>
              <w:rPr>
                <w:rFonts w:hint="eastAsia" w:ascii="仿宋" w:hAnsi="仿宋" w:eastAsia="仿宋"/>
                <w:spacing w:val="-17"/>
                <w:w w:val="90"/>
                <w:szCs w:val="21"/>
                <w:lang w:val="en-US" w:eastAsia="zh-CN"/>
              </w:rPr>
              <w:t>2</w:t>
            </w:r>
          </w:p>
        </w:tc>
        <w:tc>
          <w:tcPr>
            <w:tcW w:w="1961" w:type="dxa"/>
            <w:tcBorders>
              <w:tl2br w:val="nil"/>
              <w:tr2bl w:val="nil"/>
            </w:tcBorders>
            <w:shd w:val="clear" w:color="auto" w:fill="auto"/>
            <w:vAlign w:val="center"/>
          </w:tcPr>
          <w:p>
            <w:pPr>
              <w:spacing w:line="0" w:lineRule="atLeast"/>
              <w:jc w:val="center"/>
              <w:rPr>
                <w:rFonts w:ascii="仿宋" w:hAnsi="仿宋" w:eastAsia="仿宋"/>
                <w:spacing w:val="-17"/>
                <w:w w:val="90"/>
                <w:szCs w:val="21"/>
              </w:rPr>
            </w:pPr>
            <w:r>
              <w:rPr>
                <w:rFonts w:hint="eastAsia" w:ascii="仿宋" w:hAnsi="仿宋" w:eastAsia="仿宋"/>
                <w:spacing w:val="-17"/>
                <w:w w:val="90"/>
                <w:szCs w:val="21"/>
              </w:rPr>
              <w:t>湘人社发〔2018〕36号</w:t>
            </w:r>
          </w:p>
        </w:tc>
        <w:tc>
          <w:tcPr>
            <w:tcW w:w="5919" w:type="dxa"/>
            <w:tcBorders>
              <w:tl2br w:val="nil"/>
              <w:tr2bl w:val="nil"/>
            </w:tcBorders>
            <w:shd w:val="clear" w:color="auto" w:fill="auto"/>
            <w:vAlign w:val="center"/>
          </w:tcPr>
          <w:p>
            <w:pPr>
              <w:spacing w:line="0" w:lineRule="atLeast"/>
              <w:rPr>
                <w:rFonts w:ascii="仿宋" w:hAnsi="仿宋" w:eastAsia="仿宋"/>
                <w:spacing w:val="-17"/>
                <w:w w:val="90"/>
                <w:szCs w:val="21"/>
              </w:rPr>
            </w:pPr>
            <w:r>
              <w:rPr>
                <w:rFonts w:hint="eastAsia" w:ascii="仿宋" w:hAnsi="仿宋" w:eastAsia="仿宋"/>
                <w:spacing w:val="-17"/>
                <w:w w:val="90"/>
                <w:szCs w:val="21"/>
              </w:rPr>
              <w:t>湖南省人力资源和社会保障厅《关于印发&lt;湖南省机关事业单位工勤技能岗位考核实施办法&gt;的通知》</w:t>
            </w:r>
          </w:p>
        </w:tc>
      </w:tr>
    </w:tbl>
    <w:p>
      <w:pPr>
        <w:rPr>
          <w:rFonts w:ascii="仿宋" w:hAnsi="仿宋" w:eastAsia="仿宋" w:cs="仿宋"/>
          <w:color w:val="333333"/>
          <w:sz w:val="32"/>
          <w:szCs w:val="32"/>
          <w:shd w:val="clear" w:color="auto" w:fill="FFFFFF"/>
        </w:rPr>
      </w:pPr>
      <w:bookmarkStart w:id="0" w:name="_GoBack"/>
      <w:bookmarkEnd w:id="0"/>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spacing w:line="200" w:lineRule="exact"/>
        <w:rPr>
          <w:rFonts w:hint="eastAsia" w:ascii="Times New Roman" w:hAnsi="Times New Roman" w:eastAsia="仿宋_GB2312" w:cs="Times New Roman"/>
          <w:sz w:val="32"/>
          <w:szCs w:val="32"/>
          <w:lang w:val="en-US" w:eastAsia="zh-CN"/>
        </w:rPr>
      </w:pPr>
    </w:p>
    <w:p>
      <w:pPr>
        <w:spacing w:line="200" w:lineRule="exact"/>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32"/>
          <w:szCs w:val="32"/>
          <w:lang w:val="en-US" w:eastAsia="zh-CN"/>
        </w:rPr>
      </w:pPr>
      <w:r>
        <w:rPr>
          <w:rFonts w:ascii="Times New Roman" w:hAnsi="Times New Roman" w:eastAsia="仿宋_GB2312"/>
          <w:sz w:val="28"/>
          <w:szCs w:val="28"/>
        </w:rPr>
        <w:t xml:space="preserve">  湖南省人力资源和社会保障厅办公室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20</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27</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sectPr>
      <w:headerReference r:id="rId3" w:type="default"/>
      <w:footerReference r:id="rId5" w:type="default"/>
      <w:headerReference r:id="rId4" w:type="even"/>
      <w:footerReference r:id="rId6" w:type="even"/>
      <w:pgSz w:w="11906" w:h="16838"/>
      <w:pgMar w:top="1984" w:right="1418" w:bottom="1474" w:left="1588" w:header="964" w:footer="1020"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AE"/>
    <w:rsid w:val="00007F2C"/>
    <w:rsid w:val="00015011"/>
    <w:rsid w:val="00017629"/>
    <w:rsid w:val="00021EB4"/>
    <w:rsid w:val="00032E42"/>
    <w:rsid w:val="00057559"/>
    <w:rsid w:val="0005755D"/>
    <w:rsid w:val="00061CD5"/>
    <w:rsid w:val="00083566"/>
    <w:rsid w:val="00083792"/>
    <w:rsid w:val="00087BD5"/>
    <w:rsid w:val="00090512"/>
    <w:rsid w:val="00096292"/>
    <w:rsid w:val="00096B00"/>
    <w:rsid w:val="000A3FD2"/>
    <w:rsid w:val="000B346D"/>
    <w:rsid w:val="000C106A"/>
    <w:rsid w:val="000C1E78"/>
    <w:rsid w:val="000D311C"/>
    <w:rsid w:val="000D7430"/>
    <w:rsid w:val="000D7C71"/>
    <w:rsid w:val="000E598A"/>
    <w:rsid w:val="000F5118"/>
    <w:rsid w:val="000F703C"/>
    <w:rsid w:val="0010271A"/>
    <w:rsid w:val="00106B3C"/>
    <w:rsid w:val="00107A44"/>
    <w:rsid w:val="00114599"/>
    <w:rsid w:val="00142431"/>
    <w:rsid w:val="00164147"/>
    <w:rsid w:val="00170FD2"/>
    <w:rsid w:val="00187C79"/>
    <w:rsid w:val="001A3525"/>
    <w:rsid w:val="001B0D5E"/>
    <w:rsid w:val="001B63E9"/>
    <w:rsid w:val="001C7F3D"/>
    <w:rsid w:val="001D5CD6"/>
    <w:rsid w:val="001F6369"/>
    <w:rsid w:val="00203DE2"/>
    <w:rsid w:val="00207D11"/>
    <w:rsid w:val="002171D1"/>
    <w:rsid w:val="00225092"/>
    <w:rsid w:val="00245E42"/>
    <w:rsid w:val="002469A0"/>
    <w:rsid w:val="002637E7"/>
    <w:rsid w:val="00263819"/>
    <w:rsid w:val="0027153C"/>
    <w:rsid w:val="002769F1"/>
    <w:rsid w:val="00280650"/>
    <w:rsid w:val="00285491"/>
    <w:rsid w:val="00295ADF"/>
    <w:rsid w:val="00297455"/>
    <w:rsid w:val="002A3BAD"/>
    <w:rsid w:val="002A41EB"/>
    <w:rsid w:val="002A7992"/>
    <w:rsid w:val="002B6F23"/>
    <w:rsid w:val="002B7441"/>
    <w:rsid w:val="002C4C79"/>
    <w:rsid w:val="002C7093"/>
    <w:rsid w:val="002D22ED"/>
    <w:rsid w:val="002E1F1C"/>
    <w:rsid w:val="002E52EB"/>
    <w:rsid w:val="003010B3"/>
    <w:rsid w:val="003019D1"/>
    <w:rsid w:val="00302037"/>
    <w:rsid w:val="003020A9"/>
    <w:rsid w:val="00310DAE"/>
    <w:rsid w:val="003246B4"/>
    <w:rsid w:val="00333CE5"/>
    <w:rsid w:val="00343911"/>
    <w:rsid w:val="003512F3"/>
    <w:rsid w:val="003540CB"/>
    <w:rsid w:val="00354685"/>
    <w:rsid w:val="00356954"/>
    <w:rsid w:val="00367A2F"/>
    <w:rsid w:val="00380E62"/>
    <w:rsid w:val="00390041"/>
    <w:rsid w:val="003902EE"/>
    <w:rsid w:val="003A308E"/>
    <w:rsid w:val="003B0127"/>
    <w:rsid w:val="003B3F6D"/>
    <w:rsid w:val="003C331B"/>
    <w:rsid w:val="003C348B"/>
    <w:rsid w:val="003D122E"/>
    <w:rsid w:val="003D4952"/>
    <w:rsid w:val="003D68BA"/>
    <w:rsid w:val="003D7017"/>
    <w:rsid w:val="003D7B8C"/>
    <w:rsid w:val="00403AC9"/>
    <w:rsid w:val="00407C1E"/>
    <w:rsid w:val="004120E9"/>
    <w:rsid w:val="004152CF"/>
    <w:rsid w:val="00415F24"/>
    <w:rsid w:val="00425401"/>
    <w:rsid w:val="00440758"/>
    <w:rsid w:val="00454AE2"/>
    <w:rsid w:val="00455420"/>
    <w:rsid w:val="00460973"/>
    <w:rsid w:val="00460E20"/>
    <w:rsid w:val="00467FEF"/>
    <w:rsid w:val="00473F3E"/>
    <w:rsid w:val="00474D3D"/>
    <w:rsid w:val="00481A8F"/>
    <w:rsid w:val="004935AE"/>
    <w:rsid w:val="004A4BC2"/>
    <w:rsid w:val="004B0D5D"/>
    <w:rsid w:val="004D0BEA"/>
    <w:rsid w:val="004D6A0A"/>
    <w:rsid w:val="004E6B0A"/>
    <w:rsid w:val="004F2F9D"/>
    <w:rsid w:val="00501D4F"/>
    <w:rsid w:val="00517932"/>
    <w:rsid w:val="005211F6"/>
    <w:rsid w:val="005247B3"/>
    <w:rsid w:val="00524D0A"/>
    <w:rsid w:val="00526282"/>
    <w:rsid w:val="0053173A"/>
    <w:rsid w:val="00534AA8"/>
    <w:rsid w:val="00554091"/>
    <w:rsid w:val="005561ED"/>
    <w:rsid w:val="005561F6"/>
    <w:rsid w:val="00563B93"/>
    <w:rsid w:val="005654F7"/>
    <w:rsid w:val="00580FF5"/>
    <w:rsid w:val="005819D2"/>
    <w:rsid w:val="00595D69"/>
    <w:rsid w:val="005A5793"/>
    <w:rsid w:val="005D5EFE"/>
    <w:rsid w:val="005D6E63"/>
    <w:rsid w:val="005F1EA5"/>
    <w:rsid w:val="00600E7B"/>
    <w:rsid w:val="00601849"/>
    <w:rsid w:val="00602769"/>
    <w:rsid w:val="00603A2C"/>
    <w:rsid w:val="00612BEB"/>
    <w:rsid w:val="00615037"/>
    <w:rsid w:val="006220F9"/>
    <w:rsid w:val="00622167"/>
    <w:rsid w:val="0062271F"/>
    <w:rsid w:val="006238D1"/>
    <w:rsid w:val="0062406B"/>
    <w:rsid w:val="00645B5C"/>
    <w:rsid w:val="00651361"/>
    <w:rsid w:val="006533F2"/>
    <w:rsid w:val="00654DF6"/>
    <w:rsid w:val="006661FD"/>
    <w:rsid w:val="006740A3"/>
    <w:rsid w:val="00674B26"/>
    <w:rsid w:val="00680B5D"/>
    <w:rsid w:val="0068339C"/>
    <w:rsid w:val="0068611B"/>
    <w:rsid w:val="00690919"/>
    <w:rsid w:val="006A345E"/>
    <w:rsid w:val="006A4101"/>
    <w:rsid w:val="006B2BE8"/>
    <w:rsid w:val="006C1DAC"/>
    <w:rsid w:val="006D7B89"/>
    <w:rsid w:val="006E1454"/>
    <w:rsid w:val="006F130D"/>
    <w:rsid w:val="006F1690"/>
    <w:rsid w:val="006F1F24"/>
    <w:rsid w:val="006F68FA"/>
    <w:rsid w:val="00703170"/>
    <w:rsid w:val="0071742C"/>
    <w:rsid w:val="00720A2F"/>
    <w:rsid w:val="00725CB3"/>
    <w:rsid w:val="007337F6"/>
    <w:rsid w:val="007339FB"/>
    <w:rsid w:val="00753E71"/>
    <w:rsid w:val="00764AEB"/>
    <w:rsid w:val="0077167E"/>
    <w:rsid w:val="007751BA"/>
    <w:rsid w:val="0078746C"/>
    <w:rsid w:val="007928CD"/>
    <w:rsid w:val="007A1905"/>
    <w:rsid w:val="007A3A66"/>
    <w:rsid w:val="007A5B2A"/>
    <w:rsid w:val="007B4189"/>
    <w:rsid w:val="007B658C"/>
    <w:rsid w:val="007C1889"/>
    <w:rsid w:val="007C60BE"/>
    <w:rsid w:val="007D4432"/>
    <w:rsid w:val="007E6918"/>
    <w:rsid w:val="007F10E5"/>
    <w:rsid w:val="007F13A8"/>
    <w:rsid w:val="00817FD1"/>
    <w:rsid w:val="00823C56"/>
    <w:rsid w:val="00830C85"/>
    <w:rsid w:val="00832166"/>
    <w:rsid w:val="0083343B"/>
    <w:rsid w:val="00836471"/>
    <w:rsid w:val="00842014"/>
    <w:rsid w:val="00851989"/>
    <w:rsid w:val="00856697"/>
    <w:rsid w:val="008632AC"/>
    <w:rsid w:val="00863674"/>
    <w:rsid w:val="00864123"/>
    <w:rsid w:val="00877D0E"/>
    <w:rsid w:val="0089247E"/>
    <w:rsid w:val="00897147"/>
    <w:rsid w:val="008C22AC"/>
    <w:rsid w:val="008C4068"/>
    <w:rsid w:val="008C5186"/>
    <w:rsid w:val="008E1A5F"/>
    <w:rsid w:val="008E4840"/>
    <w:rsid w:val="009046D4"/>
    <w:rsid w:val="00931635"/>
    <w:rsid w:val="0093231A"/>
    <w:rsid w:val="00952559"/>
    <w:rsid w:val="00974D7B"/>
    <w:rsid w:val="00987CA7"/>
    <w:rsid w:val="009970FE"/>
    <w:rsid w:val="009A0775"/>
    <w:rsid w:val="009A735C"/>
    <w:rsid w:val="009B1060"/>
    <w:rsid w:val="009B2891"/>
    <w:rsid w:val="009C2C62"/>
    <w:rsid w:val="009E226A"/>
    <w:rsid w:val="009E7BD4"/>
    <w:rsid w:val="00A040EA"/>
    <w:rsid w:val="00A07463"/>
    <w:rsid w:val="00A07DF5"/>
    <w:rsid w:val="00A11B8A"/>
    <w:rsid w:val="00A1231A"/>
    <w:rsid w:val="00A162D3"/>
    <w:rsid w:val="00A16C03"/>
    <w:rsid w:val="00A22CF8"/>
    <w:rsid w:val="00A24945"/>
    <w:rsid w:val="00A30B54"/>
    <w:rsid w:val="00A30E7F"/>
    <w:rsid w:val="00A321A1"/>
    <w:rsid w:val="00A40A7E"/>
    <w:rsid w:val="00A5049F"/>
    <w:rsid w:val="00A5234E"/>
    <w:rsid w:val="00A66964"/>
    <w:rsid w:val="00A70E7F"/>
    <w:rsid w:val="00A77089"/>
    <w:rsid w:val="00A808EC"/>
    <w:rsid w:val="00A86B78"/>
    <w:rsid w:val="00A9297E"/>
    <w:rsid w:val="00A92E8F"/>
    <w:rsid w:val="00A978B0"/>
    <w:rsid w:val="00AA7ACE"/>
    <w:rsid w:val="00AC0669"/>
    <w:rsid w:val="00AC3C8E"/>
    <w:rsid w:val="00AE09FA"/>
    <w:rsid w:val="00AE36B2"/>
    <w:rsid w:val="00AF14AD"/>
    <w:rsid w:val="00B0469A"/>
    <w:rsid w:val="00B06B28"/>
    <w:rsid w:val="00B06B93"/>
    <w:rsid w:val="00B07A6F"/>
    <w:rsid w:val="00B4015F"/>
    <w:rsid w:val="00B4607C"/>
    <w:rsid w:val="00B50A44"/>
    <w:rsid w:val="00B56D94"/>
    <w:rsid w:val="00B608A0"/>
    <w:rsid w:val="00B6100B"/>
    <w:rsid w:val="00B643C0"/>
    <w:rsid w:val="00B65214"/>
    <w:rsid w:val="00B653FB"/>
    <w:rsid w:val="00B86068"/>
    <w:rsid w:val="00B87D00"/>
    <w:rsid w:val="00BA3CF5"/>
    <w:rsid w:val="00BA5A2D"/>
    <w:rsid w:val="00BB4C1A"/>
    <w:rsid w:val="00BB4D2C"/>
    <w:rsid w:val="00BE2141"/>
    <w:rsid w:val="00BE32EA"/>
    <w:rsid w:val="00BE7922"/>
    <w:rsid w:val="00BF6B36"/>
    <w:rsid w:val="00C03422"/>
    <w:rsid w:val="00C40DE0"/>
    <w:rsid w:val="00C425FC"/>
    <w:rsid w:val="00C47C83"/>
    <w:rsid w:val="00C521BE"/>
    <w:rsid w:val="00C53FBD"/>
    <w:rsid w:val="00C62E94"/>
    <w:rsid w:val="00C876F6"/>
    <w:rsid w:val="00C9238E"/>
    <w:rsid w:val="00C92AFA"/>
    <w:rsid w:val="00C94A82"/>
    <w:rsid w:val="00C965CE"/>
    <w:rsid w:val="00C96BBC"/>
    <w:rsid w:val="00CB0E78"/>
    <w:rsid w:val="00CB1EFB"/>
    <w:rsid w:val="00CB5222"/>
    <w:rsid w:val="00CB6884"/>
    <w:rsid w:val="00CB758F"/>
    <w:rsid w:val="00CC00BB"/>
    <w:rsid w:val="00CC49E3"/>
    <w:rsid w:val="00CC6DD0"/>
    <w:rsid w:val="00CD49F6"/>
    <w:rsid w:val="00CD6C0F"/>
    <w:rsid w:val="00CE0FB2"/>
    <w:rsid w:val="00D0065E"/>
    <w:rsid w:val="00D07B11"/>
    <w:rsid w:val="00D15074"/>
    <w:rsid w:val="00D214FE"/>
    <w:rsid w:val="00D30953"/>
    <w:rsid w:val="00D43956"/>
    <w:rsid w:val="00D51526"/>
    <w:rsid w:val="00D53F01"/>
    <w:rsid w:val="00D631C1"/>
    <w:rsid w:val="00D75DBB"/>
    <w:rsid w:val="00D810DB"/>
    <w:rsid w:val="00D90AAE"/>
    <w:rsid w:val="00DA0ED6"/>
    <w:rsid w:val="00DA345D"/>
    <w:rsid w:val="00DB3531"/>
    <w:rsid w:val="00DB40E4"/>
    <w:rsid w:val="00DB73A9"/>
    <w:rsid w:val="00DD09A5"/>
    <w:rsid w:val="00DD2740"/>
    <w:rsid w:val="00DD4299"/>
    <w:rsid w:val="00DF74F6"/>
    <w:rsid w:val="00E017ED"/>
    <w:rsid w:val="00E2008E"/>
    <w:rsid w:val="00E3149B"/>
    <w:rsid w:val="00E456A0"/>
    <w:rsid w:val="00E464BB"/>
    <w:rsid w:val="00E6169C"/>
    <w:rsid w:val="00E61A6B"/>
    <w:rsid w:val="00E67755"/>
    <w:rsid w:val="00E72C78"/>
    <w:rsid w:val="00E75A1A"/>
    <w:rsid w:val="00E76573"/>
    <w:rsid w:val="00E81F25"/>
    <w:rsid w:val="00E8540B"/>
    <w:rsid w:val="00E9286D"/>
    <w:rsid w:val="00E93FE5"/>
    <w:rsid w:val="00E94F1B"/>
    <w:rsid w:val="00E961CF"/>
    <w:rsid w:val="00EA1223"/>
    <w:rsid w:val="00EA4CCE"/>
    <w:rsid w:val="00EA5B69"/>
    <w:rsid w:val="00EA5B7F"/>
    <w:rsid w:val="00EB35AC"/>
    <w:rsid w:val="00EC1AAC"/>
    <w:rsid w:val="00EC47C2"/>
    <w:rsid w:val="00ED5DE5"/>
    <w:rsid w:val="00ED7383"/>
    <w:rsid w:val="00EE1682"/>
    <w:rsid w:val="00F07B10"/>
    <w:rsid w:val="00F14EC5"/>
    <w:rsid w:val="00F16D31"/>
    <w:rsid w:val="00F35548"/>
    <w:rsid w:val="00F447FA"/>
    <w:rsid w:val="00F47351"/>
    <w:rsid w:val="00F51BB2"/>
    <w:rsid w:val="00F51CA6"/>
    <w:rsid w:val="00F6588B"/>
    <w:rsid w:val="00F95F45"/>
    <w:rsid w:val="00FA0340"/>
    <w:rsid w:val="00FA60A9"/>
    <w:rsid w:val="00FB2C80"/>
    <w:rsid w:val="00FC6B20"/>
    <w:rsid w:val="00FD2031"/>
    <w:rsid w:val="00FE3ED3"/>
    <w:rsid w:val="00FF5F81"/>
    <w:rsid w:val="02E40A15"/>
    <w:rsid w:val="03245D03"/>
    <w:rsid w:val="059C2697"/>
    <w:rsid w:val="09037C9B"/>
    <w:rsid w:val="0DBA47EB"/>
    <w:rsid w:val="0E841CA8"/>
    <w:rsid w:val="11A83F77"/>
    <w:rsid w:val="12CA5B67"/>
    <w:rsid w:val="12D766AF"/>
    <w:rsid w:val="1D183B24"/>
    <w:rsid w:val="24B42F13"/>
    <w:rsid w:val="261B2C26"/>
    <w:rsid w:val="273B24A3"/>
    <w:rsid w:val="279E605E"/>
    <w:rsid w:val="3095722E"/>
    <w:rsid w:val="36F9730A"/>
    <w:rsid w:val="3B3817F7"/>
    <w:rsid w:val="3C810123"/>
    <w:rsid w:val="3FB017AF"/>
    <w:rsid w:val="4101495F"/>
    <w:rsid w:val="448C4A75"/>
    <w:rsid w:val="4DFB1F33"/>
    <w:rsid w:val="4E9F1CFB"/>
    <w:rsid w:val="50AB2B15"/>
    <w:rsid w:val="54D006A1"/>
    <w:rsid w:val="56DF2212"/>
    <w:rsid w:val="583343BD"/>
    <w:rsid w:val="5C6B21F7"/>
    <w:rsid w:val="5E3D4F72"/>
    <w:rsid w:val="5F0F3B2D"/>
    <w:rsid w:val="73BC534F"/>
    <w:rsid w:val="748A3746"/>
    <w:rsid w:val="756D7176"/>
    <w:rsid w:val="75773033"/>
    <w:rsid w:val="78783C20"/>
    <w:rsid w:val="7A687F8F"/>
    <w:rsid w:val="7CD6219A"/>
    <w:rsid w:val="7FF35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index 5"/>
    <w:basedOn w:val="1"/>
    <w:next w:val="1"/>
    <w:qFormat/>
    <w:uiPriority w:val="0"/>
    <w:pPr>
      <w:ind w:left="1680"/>
    </w:pPr>
  </w:style>
  <w:style w:type="paragraph" w:styleId="4">
    <w:name w:val="Balloon Text"/>
    <w:basedOn w:val="1"/>
    <w:link w:val="16"/>
    <w:semiHidden/>
    <w:unhideWhenUsed/>
    <w:qFormat/>
    <w:uiPriority w:val="99"/>
    <w:rPr>
      <w:sz w:val="18"/>
      <w:szCs w:val="18"/>
    </w:rPr>
  </w:style>
  <w:style w:type="paragraph" w:styleId="5">
    <w:name w:val="footer"/>
    <w:basedOn w:val="1"/>
    <w:next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脚 Char"/>
    <w:basedOn w:val="10"/>
    <w:link w:val="5"/>
    <w:qFormat/>
    <w:uiPriority w:val="99"/>
    <w:rPr>
      <w:rFonts w:ascii="Calibri" w:hAnsi="Calibri" w:eastAsia="宋体" w:cs="Times New Roman"/>
      <w:sz w:val="18"/>
      <w:szCs w:val="24"/>
    </w:rPr>
  </w:style>
  <w:style w:type="character" w:customStyle="1" w:styleId="14">
    <w:name w:val="页眉 Char"/>
    <w:basedOn w:val="10"/>
    <w:link w:val="6"/>
    <w:qFormat/>
    <w:uiPriority w:val="99"/>
    <w:rPr>
      <w:rFonts w:ascii="Calibri" w:hAnsi="Calibri" w:eastAsia="宋体" w:cs="Times New Roman"/>
      <w:sz w:val="18"/>
      <w:szCs w:val="18"/>
    </w:r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批注框文本 Char"/>
    <w:basedOn w:val="10"/>
    <w:link w:val="4"/>
    <w:semiHidden/>
    <w:qFormat/>
    <w:uiPriority w:val="99"/>
    <w:rPr>
      <w:rFonts w:ascii="Calibri" w:hAnsi="Calibri" w:eastAsia="宋体" w:cs="Times New Roman"/>
      <w:kern w:val="2"/>
      <w:sz w:val="18"/>
      <w:szCs w:val="18"/>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List Paragraph"/>
    <w:basedOn w:val="1"/>
    <w:qFormat/>
    <w:uiPriority w:val="0"/>
    <w:pPr>
      <w:ind w:firstLine="420" w:firstLineChars="200"/>
    </w:pPr>
    <w:rPr>
      <w:rFonts w:ascii="Calibri" w:hAnsi="Calibri" w:eastAsia="宋体" w:cs="Times New Roman"/>
    </w:rPr>
  </w:style>
  <w:style w:type="paragraph" w:customStyle="1" w:styleId="19">
    <w:name w:val="_Style 1"/>
    <w:basedOn w:val="1"/>
    <w:qFormat/>
    <w:uiPriority w:val="0"/>
    <w:pPr>
      <w:ind w:firstLine="420" w:firstLineChars="200"/>
    </w:pPr>
    <w:rPr>
      <w:rFonts w:ascii="Calibri" w:hAnsi="Calibri" w:eastAsia="宋体" w:cs="Times New Roman"/>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599</Words>
  <Characters>3415</Characters>
  <Lines>28</Lines>
  <Paragraphs>8</Paragraphs>
  <TotalTime>0</TotalTime>
  <ScaleCrop>false</ScaleCrop>
  <LinksUpToDate>false</LinksUpToDate>
  <CharactersWithSpaces>4006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2020-02-24T15:21:00Z</dcterms:created>
  <dc:creator>biao mao</dc:creator>
  <cp:lastModifiedBy>不吃猫的鱼</cp:lastModifiedBy>
  <cp:lastPrinted>2020-10-29T02:36:00Z</cp:lastPrinted>
  <dcterms:modified xsi:type="dcterms:W3CDTF">2020-11-20T02:33:50Z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