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60" w:lineRule="exact"/>
        <w:jc w:val="left"/>
        <w:rPr>
          <w:rFonts w:hint="default" w:ascii="Times New Roman" w:hAnsi="Times New Roman" w:eastAsia="黑体" w:cs="Times New Roman"/>
          <w:color w:val="000000" w:themeColor="text1"/>
          <w:kern w:val="0"/>
          <w:sz w:val="32"/>
          <w:szCs w:val="28"/>
          <w14:textFill>
            <w14:solidFill>
              <w14:schemeClr w14:val="tx1"/>
            </w14:solidFill>
          </w14:textFill>
        </w:rPr>
      </w:pPr>
      <w:r>
        <w:rPr>
          <w:rFonts w:hint="default" w:ascii="Times New Roman" w:hAnsi="Times New Roman" w:eastAsia="黑体" w:cs="Times New Roman"/>
          <w:color w:val="000000" w:themeColor="text1"/>
          <w:kern w:val="0"/>
          <w:sz w:val="32"/>
          <w:szCs w:val="28"/>
          <w14:textFill>
            <w14:solidFill>
              <w14:schemeClr w14:val="tx1"/>
            </w14:solidFill>
          </w14:textFill>
        </w:rPr>
        <w:t>附件</w:t>
      </w:r>
      <w:bookmarkStart w:id="0" w:name="_GoBack"/>
      <w:bookmarkEnd w:id="0"/>
    </w:p>
    <w:p>
      <w:pPr>
        <w:shd w:val="clear" w:color="auto"/>
        <w:spacing w:line="560" w:lineRule="exact"/>
        <w:jc w:val="left"/>
        <w:rPr>
          <w:rFonts w:hint="default" w:ascii="Times New Roman" w:hAnsi="Times New Roman" w:eastAsia="黑体" w:cs="Times New Roman"/>
          <w:color w:val="000000" w:themeColor="text1"/>
          <w:kern w:val="0"/>
          <w:sz w:val="28"/>
          <w:szCs w:val="28"/>
          <w14:textFill>
            <w14:solidFill>
              <w14:schemeClr w14:val="tx1"/>
            </w14:solidFill>
          </w14:textFill>
        </w:rPr>
      </w:pPr>
    </w:p>
    <w:p>
      <w:pPr>
        <w:shd w:val="clear" w:color="auto"/>
        <w:spacing w:line="560" w:lineRule="exact"/>
        <w:jc w:val="center"/>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kern w:val="0"/>
          <w:sz w:val="44"/>
          <w:szCs w:val="44"/>
          <w14:textFill>
            <w14:solidFill>
              <w14:schemeClr w14:val="tx1"/>
            </w14:solidFill>
          </w14:textFill>
        </w:rPr>
        <w:t>年度湖南省</w:t>
      </w:r>
      <w:r>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t>人力资源管理专业</w:t>
      </w:r>
    </w:p>
    <w:p>
      <w:pPr>
        <w:shd w:val="clear" w:color="auto"/>
        <w:spacing w:line="560" w:lineRule="exact"/>
        <w:jc w:val="center"/>
        <w:rPr>
          <w:rFonts w:hint="default" w:ascii="Times New Roman" w:hAnsi="Times New Roman" w:eastAsia="方正小标宋简体" w:cs="Times New Roman"/>
          <w:color w:val="000000" w:themeColor="text1"/>
          <w:kern w:val="0"/>
          <w:sz w:val="44"/>
          <w:szCs w:val="44"/>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高级职称评审面试答辩回执</w:t>
      </w:r>
    </w:p>
    <w:p>
      <w:pPr>
        <w:shd w:val="clear" w:color="auto"/>
        <w:spacing w:line="560" w:lineRule="exact"/>
        <w:rPr>
          <w:rFonts w:hint="default" w:ascii="Times New Roman" w:hAnsi="Times New Roman" w:eastAsia="仿宋" w:cs="Times New Roman"/>
          <w:color w:val="000000" w:themeColor="text1"/>
          <w:kern w:val="0"/>
          <w:sz w:val="24"/>
          <w:szCs w:val="24"/>
          <w14:textFill>
            <w14:solidFill>
              <w14:schemeClr w14:val="tx1"/>
            </w14:solidFill>
          </w14:textFill>
        </w:rPr>
      </w:pPr>
    </w:p>
    <w:p>
      <w:pPr>
        <w:shd w:val="clear" w:color="auto"/>
        <w:spacing w:line="560" w:lineRule="exact"/>
        <w:rPr>
          <w:rFonts w:hint="default" w:ascii="Times New Roman" w:hAnsi="Times New Roman" w:eastAsia="楷体" w:cs="Times New Roman"/>
          <w:color w:val="000000" w:themeColor="text1"/>
          <w:kern w:val="0"/>
          <w:sz w:val="28"/>
          <w:szCs w:val="28"/>
          <w14:textFill>
            <w14:solidFill>
              <w14:schemeClr w14:val="tx1"/>
            </w14:solidFill>
          </w14:textFill>
        </w:rPr>
      </w:pPr>
      <w:r>
        <w:rPr>
          <w:rFonts w:hint="default" w:ascii="Times New Roman" w:hAnsi="Times New Roman" w:eastAsia="楷体" w:cs="Times New Roman"/>
          <w:color w:val="000000" w:themeColor="text1"/>
          <w:kern w:val="0"/>
          <w:sz w:val="28"/>
          <w:szCs w:val="28"/>
          <w14:textFill>
            <w14:solidFill>
              <w14:schemeClr w14:val="tx1"/>
            </w14:solidFill>
          </w14:textFill>
        </w:rPr>
        <w:t>填报单位(盖章)：</w:t>
      </w:r>
      <w:r>
        <w:rPr>
          <w:rFonts w:hint="default" w:ascii="Times New Roman" w:hAnsi="Times New Roman" w:eastAsia="楷体"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楷体" w:cs="Times New Roman"/>
          <w:color w:val="000000" w:themeColor="text1"/>
          <w:kern w:val="0"/>
          <w:sz w:val="28"/>
          <w:szCs w:val="28"/>
          <w14:textFill>
            <w14:solidFill>
              <w14:schemeClr w14:val="tx1"/>
            </w14:solidFill>
          </w14:textFill>
        </w:rPr>
        <w:t xml:space="preserve">单位联系人： </w:t>
      </w:r>
      <w:r>
        <w:rPr>
          <w:rFonts w:hint="default" w:ascii="Times New Roman" w:hAnsi="Times New Roman" w:eastAsia="楷体"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楷体"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楷体" w:cs="Times New Roman"/>
          <w:color w:val="000000" w:themeColor="text1"/>
          <w:kern w:val="0"/>
          <w:sz w:val="28"/>
          <w:szCs w:val="28"/>
          <w14:textFill>
            <w14:solidFill>
              <w14:schemeClr w14:val="tx1"/>
            </w14:solidFill>
          </w14:textFill>
        </w:rPr>
        <w:t xml:space="preserve"> 联系人手机电话：</w:t>
      </w:r>
    </w:p>
    <w:tbl>
      <w:tblPr>
        <w:tblStyle w:val="4"/>
        <w:tblW w:w="8891" w:type="dxa"/>
        <w:jc w:val="center"/>
        <w:tblLayout w:type="fixed"/>
        <w:tblCellMar>
          <w:top w:w="0" w:type="dxa"/>
          <w:left w:w="0" w:type="dxa"/>
          <w:bottom w:w="0" w:type="dxa"/>
          <w:right w:w="0" w:type="dxa"/>
        </w:tblCellMar>
      </w:tblPr>
      <w:tblGrid>
        <w:gridCol w:w="2356"/>
        <w:gridCol w:w="4020"/>
        <w:gridCol w:w="2515"/>
      </w:tblGrid>
      <w:tr>
        <w:tblPrEx>
          <w:tblCellMar>
            <w:top w:w="0" w:type="dxa"/>
            <w:left w:w="0" w:type="dxa"/>
            <w:bottom w:w="0" w:type="dxa"/>
            <w:right w:w="0" w:type="dxa"/>
          </w:tblCellMar>
        </w:tblPrEx>
        <w:trPr>
          <w:trHeight w:val="624" w:hRule="atLeast"/>
          <w:jc w:val="center"/>
        </w:trPr>
        <w:tc>
          <w:tcPr>
            <w:tcW w:w="2356"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14:textFill>
                  <w14:solidFill>
                    <w14:schemeClr w14:val="tx1"/>
                  </w14:solidFill>
                </w14:textFill>
              </w:rPr>
            </w:pPr>
            <w:r>
              <w:rPr>
                <w:rFonts w:hint="default" w:ascii="Times New Roman" w:hAnsi="Times New Roman" w:eastAsia="黑体" w:cs="Times New Roman"/>
                <w:b w:val="0"/>
                <w:bCs/>
                <w:color w:val="000000" w:themeColor="text1"/>
                <w:kern w:val="0"/>
                <w:sz w:val="28"/>
                <w:szCs w:val="28"/>
                <w14:textFill>
                  <w14:solidFill>
                    <w14:schemeClr w14:val="tx1"/>
                  </w14:solidFill>
                </w14:textFill>
              </w:rPr>
              <w:t>姓名</w:t>
            </w:r>
          </w:p>
        </w:tc>
        <w:tc>
          <w:tcPr>
            <w:tcW w:w="40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14:textFill>
                  <w14:solidFill>
                    <w14:schemeClr w14:val="tx1"/>
                  </w14:solidFill>
                </w14:textFill>
              </w:rPr>
            </w:pPr>
            <w:r>
              <w:rPr>
                <w:rFonts w:hint="default" w:ascii="Times New Roman" w:hAnsi="Times New Roman" w:eastAsia="黑体" w:cs="Times New Roman"/>
                <w:b w:val="0"/>
                <w:bCs/>
                <w:color w:val="000000" w:themeColor="text1"/>
                <w:kern w:val="0"/>
                <w:sz w:val="28"/>
                <w:szCs w:val="28"/>
                <w14:textFill>
                  <w14:solidFill>
                    <w14:schemeClr w14:val="tx1"/>
                  </w14:solidFill>
                </w14:textFill>
              </w:rPr>
              <w:t>工作单位</w:t>
            </w:r>
          </w:p>
        </w:tc>
        <w:tc>
          <w:tcPr>
            <w:tcW w:w="251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14:textFill>
                  <w14:solidFill>
                    <w14:schemeClr w14:val="tx1"/>
                  </w14:solidFill>
                </w14:textFill>
              </w:rPr>
            </w:pPr>
            <w:r>
              <w:rPr>
                <w:rFonts w:hint="default" w:ascii="Times New Roman" w:hAnsi="Times New Roman" w:eastAsia="黑体" w:cs="Times New Roman"/>
                <w:b w:val="0"/>
                <w:bCs/>
                <w:color w:val="000000" w:themeColor="text1"/>
                <w:kern w:val="0"/>
                <w:sz w:val="28"/>
                <w:szCs w:val="28"/>
                <w14:textFill>
                  <w14:solidFill>
                    <w14:schemeClr w14:val="tx1"/>
                  </w14:solidFill>
                </w14:textFill>
              </w:rPr>
              <w:t>参评人员联系电话</w:t>
            </w:r>
          </w:p>
        </w:tc>
      </w:tr>
      <w:tr>
        <w:tblPrEx>
          <w:tblCellMar>
            <w:top w:w="0" w:type="dxa"/>
            <w:left w:w="0" w:type="dxa"/>
            <w:bottom w:w="0" w:type="dxa"/>
            <w:right w:w="0" w:type="dxa"/>
          </w:tblCellMar>
        </w:tblPrEx>
        <w:trPr>
          <w:trHeight w:val="624" w:hRule="atLeast"/>
          <w:jc w:val="center"/>
        </w:trPr>
        <w:tc>
          <w:tcPr>
            <w:tcW w:w="23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14:textFill>
                  <w14:solidFill>
                    <w14:schemeClr w14:val="tx1"/>
                  </w14:solidFill>
                </w14:textFill>
              </w:rPr>
            </w:pPr>
          </w:p>
        </w:tc>
        <w:tc>
          <w:tcPr>
            <w:tcW w:w="40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14:textFill>
                  <w14:solidFill>
                    <w14:schemeClr w14:val="tx1"/>
                  </w14:solidFill>
                </w14:textFill>
              </w:rPr>
            </w:pPr>
          </w:p>
        </w:tc>
        <w:tc>
          <w:tcPr>
            <w:tcW w:w="251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rPr>
          <w:trHeight w:val="624" w:hRule="atLeast"/>
          <w:jc w:val="center"/>
        </w:trPr>
        <w:tc>
          <w:tcPr>
            <w:tcW w:w="23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c>
          <w:tcPr>
            <w:tcW w:w="40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c>
          <w:tcPr>
            <w:tcW w:w="251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r>
      <w:tr>
        <w:tblPrEx>
          <w:tblCellMar>
            <w:top w:w="0" w:type="dxa"/>
            <w:left w:w="0" w:type="dxa"/>
            <w:bottom w:w="0" w:type="dxa"/>
            <w:right w:w="0" w:type="dxa"/>
          </w:tblCellMar>
        </w:tblPrEx>
        <w:trPr>
          <w:trHeight w:val="624" w:hRule="atLeast"/>
          <w:jc w:val="center"/>
        </w:trPr>
        <w:tc>
          <w:tcPr>
            <w:tcW w:w="23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c>
          <w:tcPr>
            <w:tcW w:w="40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c>
          <w:tcPr>
            <w:tcW w:w="251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r>
      <w:tr>
        <w:tblPrEx>
          <w:tblCellMar>
            <w:top w:w="0" w:type="dxa"/>
            <w:left w:w="0" w:type="dxa"/>
            <w:bottom w:w="0" w:type="dxa"/>
            <w:right w:w="0" w:type="dxa"/>
          </w:tblCellMar>
        </w:tblPrEx>
        <w:trPr>
          <w:trHeight w:val="624" w:hRule="atLeast"/>
          <w:jc w:val="center"/>
        </w:trPr>
        <w:tc>
          <w:tcPr>
            <w:tcW w:w="23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c>
          <w:tcPr>
            <w:tcW w:w="40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c>
          <w:tcPr>
            <w:tcW w:w="251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r>
      <w:tr>
        <w:tblPrEx>
          <w:tblCellMar>
            <w:top w:w="0" w:type="dxa"/>
            <w:left w:w="0" w:type="dxa"/>
            <w:bottom w:w="0" w:type="dxa"/>
            <w:right w:w="0" w:type="dxa"/>
          </w:tblCellMar>
        </w:tblPrEx>
        <w:trPr>
          <w:trHeight w:val="624" w:hRule="atLeast"/>
          <w:jc w:val="center"/>
        </w:trPr>
        <w:tc>
          <w:tcPr>
            <w:tcW w:w="23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c>
          <w:tcPr>
            <w:tcW w:w="40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c>
          <w:tcPr>
            <w:tcW w:w="251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r>
      <w:tr>
        <w:tblPrEx>
          <w:tblCellMar>
            <w:top w:w="0" w:type="dxa"/>
            <w:left w:w="0" w:type="dxa"/>
            <w:bottom w:w="0" w:type="dxa"/>
            <w:right w:w="0" w:type="dxa"/>
          </w:tblCellMar>
        </w:tblPrEx>
        <w:trPr>
          <w:trHeight w:val="624" w:hRule="atLeast"/>
          <w:jc w:val="center"/>
        </w:trPr>
        <w:tc>
          <w:tcPr>
            <w:tcW w:w="23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c>
          <w:tcPr>
            <w:tcW w:w="40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c>
          <w:tcPr>
            <w:tcW w:w="251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000000" w:themeColor="text1"/>
                <w:kern w:val="0"/>
                <w:sz w:val="28"/>
                <w:szCs w:val="28"/>
                <w:lang w:val="en"/>
                <w14:textFill>
                  <w14:solidFill>
                    <w14:schemeClr w14:val="tx1"/>
                  </w14:solidFill>
                </w14:textFill>
              </w:rPr>
            </w:pPr>
          </w:p>
        </w:tc>
      </w:tr>
    </w:tbl>
    <w:p>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kern w:val="0"/>
          <w:sz w:val="28"/>
          <w:szCs w:val="28"/>
          <w:lang w:val="en"/>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备注：</w:t>
      </w:r>
    </w:p>
    <w:p>
      <w:pPr>
        <w:keepNext w:val="0"/>
        <w:keepLines w:val="0"/>
        <w:pageBreakBefore w:val="0"/>
        <w:widowControl w:val="0"/>
        <w:shd w:val="clear" w:color="auto"/>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1.请确保通知到所有应当参加面试答辩的人员，并注明手机联系方式。</w:t>
      </w:r>
    </w:p>
    <w:p>
      <w:pPr>
        <w:keepNext w:val="0"/>
        <w:keepLines w:val="0"/>
        <w:pageBreakBefore w:val="0"/>
        <w:widowControl w:val="0"/>
        <w:shd w:val="clear" w:color="auto"/>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2.本次面试为</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人力资源管理专业</w:t>
      </w:r>
      <w:r>
        <w:rPr>
          <w:rFonts w:hint="default" w:ascii="Times New Roman" w:hAnsi="Times New Roman" w:eastAsia="仿宋" w:cs="Times New Roman"/>
          <w:color w:val="000000" w:themeColor="text1"/>
          <w:kern w:val="0"/>
          <w:sz w:val="28"/>
          <w:szCs w:val="28"/>
          <w14:textFill>
            <w14:solidFill>
              <w14:schemeClr w14:val="tx1"/>
            </w14:solidFill>
          </w14:textFill>
        </w:rPr>
        <w:t>的高级</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和</w:t>
      </w:r>
      <w:r>
        <w:rPr>
          <w:rFonts w:hint="default" w:ascii="Times New Roman" w:hAnsi="Times New Roman" w:eastAsia="仿宋" w:cs="Times New Roman"/>
          <w:color w:val="000000" w:themeColor="text1"/>
          <w:kern w:val="0"/>
          <w:sz w:val="28"/>
          <w:szCs w:val="28"/>
          <w14:textFill>
            <w14:solidFill>
              <w14:schemeClr w14:val="tx1"/>
            </w14:solidFill>
          </w14:textFill>
        </w:rPr>
        <w:t>正高级职称面试答辩。</w:t>
      </w:r>
    </w:p>
    <w:p>
      <w:pPr>
        <w:keepNext w:val="0"/>
        <w:keepLines w:val="0"/>
        <w:pageBreakBefore w:val="0"/>
        <w:widowControl w:val="0"/>
        <w:shd w:val="clear" w:color="auto"/>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3.本表由单位统一填写并报送，不接受个人单独报送。</w:t>
      </w:r>
    </w:p>
    <w:p>
      <w:pPr>
        <w:keepNext w:val="0"/>
        <w:keepLines w:val="0"/>
        <w:pageBreakBefore w:val="0"/>
        <w:widowControl w:val="0"/>
        <w:shd w:val="clear" w:color="auto"/>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4.资格审查不通过人员和评审全过程当中发现有不符合申报条件的人员，评委会研究提出异议的，将及时予以通知，不允许进场答辩。</w:t>
      </w:r>
    </w:p>
    <w:p>
      <w:pPr>
        <w:keepNext w:val="0"/>
        <w:keepLines w:val="0"/>
        <w:pageBreakBefore w:val="0"/>
        <w:widowControl w:val="0"/>
        <w:shd w:val="clear" w:color="auto"/>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5.请提前安排好</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出行</w:t>
      </w:r>
      <w:r>
        <w:rPr>
          <w:rFonts w:hint="default" w:ascii="Times New Roman" w:hAnsi="Times New Roman" w:eastAsia="仿宋" w:cs="Times New Roman"/>
          <w:color w:val="000000" w:themeColor="text1"/>
          <w:kern w:val="0"/>
          <w:sz w:val="28"/>
          <w:szCs w:val="28"/>
          <w14:textFill>
            <w14:solidFill>
              <w14:schemeClr w14:val="tx1"/>
            </w14:solidFill>
          </w14:textFill>
        </w:rPr>
        <w:t>时间，避免迟到。</w:t>
      </w:r>
    </w:p>
    <w:p>
      <w:pPr>
        <w:shd w:val="clear"/>
        <w:rPr>
          <w:rFonts w:hint="default" w:ascii="Times New Roman" w:hAnsi="Times New Roman" w:eastAsia="方正小标宋简体" w:cs="Times New Roman"/>
          <w:color w:val="auto"/>
          <w:kern w:val="21"/>
          <w:sz w:val="40"/>
          <w:szCs w:val="40"/>
          <w:lang w:val="en-US" w:eastAsia="zh-CN"/>
        </w:rPr>
      </w:pPr>
    </w:p>
    <w:p>
      <w:pPr>
        <w:rPr>
          <w:b/>
          <w:bCs/>
        </w:rPr>
      </w:pPr>
    </w:p>
    <w:sectPr>
      <w:headerReference r:id="rId4" w:type="first"/>
      <w:headerReference r:id="rId3" w:type="default"/>
      <w:footerReference r:id="rId5" w:type="default"/>
      <w:pgSz w:w="11906" w:h="16838"/>
      <w:pgMar w:top="2098" w:right="1247" w:bottom="141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53D50F2B"/>
    <w:rsid w:val="53D50F2B"/>
    <w:rsid w:val="66F6549D"/>
    <w:rsid w:val="DDF184F5"/>
    <w:rsid w:val="FBF135E7"/>
    <w:rsid w:val="FF7FD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2024-10-30T08:51:00Z</dcterms:created>
  <dc:creator>Administrator</dc:creator>
  <cp:lastModifiedBy>留一尾</cp:lastModifiedBy>
  <dcterms:modified xsi:type="dcterms:W3CDTF">2024-11-21T15:18:06Z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01F100ECB5BCC4DAE39D3D67899D49AD_43</vt:lpwstr>
  </property>
</Properties>
</file>