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b w:val="0"/>
          <w:bCs w:val="0"/>
          <w:sz w:val="56"/>
          <w:szCs w:val="56"/>
        </w:rPr>
      </w:pPr>
    </w:p>
    <w:p>
      <w:pPr>
        <w:pStyle w:val="10"/>
        <w:jc w:val="center"/>
        <w:rPr>
          <w:b w:val="0"/>
          <w:bCs w:val="0"/>
          <w:sz w:val="84"/>
          <w:szCs w:val="84"/>
        </w:rPr>
      </w:pPr>
    </w:p>
    <w:p>
      <w:pPr>
        <w:pStyle w:val="10"/>
        <w:jc w:val="center"/>
        <w:rPr>
          <w:b w:val="0"/>
          <w:bCs w:val="0"/>
          <w:sz w:val="84"/>
          <w:szCs w:val="84"/>
        </w:rPr>
      </w:pPr>
    </w:p>
    <w:p>
      <w:pPr>
        <w:pStyle w:val="10"/>
        <w:jc w:val="center"/>
        <w:rPr>
          <w:rFonts w:hint="eastAsia"/>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10"/>
        <w:jc w:val="center"/>
        <w:rPr>
          <w:rFonts w:hint="eastAsia"/>
          <w:sz w:val="84"/>
          <w:szCs w:val="84"/>
        </w:rPr>
      </w:pPr>
      <w:r>
        <w:rPr>
          <w:rFonts w:hint="eastAsia"/>
          <w:sz w:val="84"/>
          <w:szCs w:val="84"/>
        </w:rPr>
        <w:t>湖南省机关事业单位养老保险管理服务中心部门决算</w:t>
      </w:r>
    </w:p>
    <w:p>
      <w:pPr>
        <w:pStyle w:val="10"/>
        <w:jc w:val="center"/>
        <w:rPr>
          <w:b w:val="0"/>
          <w:bCs w:val="0"/>
          <w:sz w:val="56"/>
          <w:szCs w:val="56"/>
        </w:rPr>
      </w:pPr>
    </w:p>
    <w:p>
      <w:pPr>
        <w:pStyle w:val="10"/>
        <w:jc w:val="center"/>
        <w:rPr>
          <w:b w:val="0"/>
          <w:bCs w:val="0"/>
          <w:sz w:val="56"/>
          <w:szCs w:val="56"/>
        </w:rPr>
      </w:pPr>
    </w:p>
    <w:p>
      <w:pPr>
        <w:pStyle w:val="10"/>
        <w:jc w:val="center"/>
        <w:rPr>
          <w:b w:val="0"/>
          <w:bCs w:val="0"/>
          <w:sz w:val="56"/>
          <w:szCs w:val="56"/>
        </w:rPr>
      </w:pPr>
    </w:p>
    <w:p>
      <w:pPr>
        <w:pStyle w:val="10"/>
        <w:jc w:val="center"/>
        <w:rPr>
          <w:b w:val="0"/>
          <w:bCs w:val="0"/>
          <w:sz w:val="56"/>
          <w:szCs w:val="56"/>
        </w:rPr>
      </w:pPr>
    </w:p>
    <w:p>
      <w:pPr>
        <w:pStyle w:val="10"/>
        <w:jc w:val="center"/>
        <w:rPr>
          <w:b w:val="0"/>
          <w:bCs w:val="0"/>
          <w:sz w:val="56"/>
          <w:szCs w:val="56"/>
        </w:rPr>
      </w:pPr>
    </w:p>
    <w:p>
      <w:pPr>
        <w:pStyle w:val="10"/>
        <w:spacing w:line="500" w:lineRule="exact"/>
        <w:jc w:val="center"/>
        <w:rPr>
          <w:b w:val="0"/>
          <w:bCs w:val="0"/>
          <w:sz w:val="36"/>
          <w:szCs w:val="28"/>
        </w:rPr>
      </w:pPr>
    </w:p>
    <w:p>
      <w:pPr>
        <w:pStyle w:val="10"/>
        <w:spacing w:line="500" w:lineRule="exact"/>
        <w:jc w:val="center"/>
        <w:rPr>
          <w:b w:val="0"/>
          <w:bCs w:val="0"/>
          <w:sz w:val="36"/>
          <w:szCs w:val="28"/>
        </w:rPr>
      </w:pPr>
      <w:r>
        <w:rPr>
          <w:rFonts w:hint="eastAsia"/>
          <w:b w:val="0"/>
          <w:bCs w:val="0"/>
          <w:sz w:val="36"/>
          <w:szCs w:val="28"/>
        </w:rPr>
        <w:t>目录</w:t>
      </w:r>
    </w:p>
    <w:p>
      <w:pPr>
        <w:pStyle w:val="10"/>
        <w:spacing w:line="500" w:lineRule="exact"/>
        <w:ind w:firstLine="560" w:firstLineChars="200"/>
        <w:rPr>
          <w:rFonts w:ascii="仿宋_GB2312" w:hAnsi="仿宋_GB2312" w:cs="仿宋_GB2312"/>
          <w:b w:val="0"/>
          <w:bCs w:val="0"/>
          <w:sz w:val="28"/>
          <w:szCs w:val="28"/>
        </w:rPr>
      </w:pPr>
      <w:r>
        <w:rPr>
          <w:rFonts w:hint="eastAsia"/>
          <w:b w:val="0"/>
          <w:bCs w:val="0"/>
          <w:sz w:val="28"/>
          <w:szCs w:val="28"/>
        </w:rPr>
        <w:t>第一部分单位概况</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一、部门职责</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二、机构设置</w:t>
      </w:r>
    </w:p>
    <w:p>
      <w:pPr>
        <w:pStyle w:val="10"/>
        <w:spacing w:line="500" w:lineRule="exact"/>
        <w:ind w:firstLine="560" w:firstLineChars="200"/>
        <w:rPr>
          <w:rFonts w:ascii="仿宋_GB2312" w:hAnsi="仿宋_GB2312" w:cs="仿宋_GB2312"/>
          <w:b w:val="0"/>
          <w:bCs w:val="0"/>
          <w:sz w:val="28"/>
          <w:szCs w:val="28"/>
        </w:rPr>
      </w:pPr>
      <w:r>
        <w:rPr>
          <w:rFonts w:hint="eastAsia" w:hAnsi="仿宋_GB2312"/>
          <w:b w:val="0"/>
          <w:bCs w:val="0"/>
          <w:sz w:val="28"/>
          <w:szCs w:val="28"/>
        </w:rPr>
        <w:t>第二部分</w:t>
      </w:r>
      <w:r>
        <w:rPr>
          <w:rFonts w:hAnsi="仿宋_GB2312"/>
          <w:b w:val="0"/>
          <w:bCs w:val="0"/>
          <w:sz w:val="28"/>
          <w:szCs w:val="28"/>
        </w:rPr>
        <w:t>20</w:t>
      </w:r>
      <w:r>
        <w:rPr>
          <w:rFonts w:hint="eastAsia" w:hAnsi="仿宋_GB2312"/>
          <w:b w:val="0"/>
          <w:bCs w:val="0"/>
          <w:sz w:val="28"/>
          <w:szCs w:val="28"/>
        </w:rPr>
        <w:t>2</w:t>
      </w:r>
      <w:r>
        <w:rPr>
          <w:rFonts w:hint="eastAsia" w:hAnsi="仿宋_GB2312"/>
          <w:b w:val="0"/>
          <w:bCs w:val="0"/>
          <w:sz w:val="28"/>
          <w:szCs w:val="28"/>
          <w:lang w:val="en-US" w:eastAsia="zh-CN"/>
        </w:rPr>
        <w:t>1</w:t>
      </w:r>
      <w:r>
        <w:rPr>
          <w:rFonts w:hint="eastAsia" w:hAnsi="仿宋_GB2312"/>
          <w:b w:val="0"/>
          <w:bCs w:val="0"/>
          <w:sz w:val="28"/>
          <w:szCs w:val="28"/>
        </w:rPr>
        <w:t>年度部门决算表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一、收入支出决算总表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二、收入决算表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三、支出决算表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hint="eastAsia" w:cs="仿宋_GB2312" w:asciiTheme="minorEastAsia" w:hAnsiTheme="minorEastAsia" w:eastAsiaTheme="minorEastAsia"/>
          <w:b w:val="0"/>
          <w:bCs w:val="0"/>
          <w:sz w:val="28"/>
          <w:szCs w:val="28"/>
        </w:rPr>
        <w:t>九、国有资本经营预算财政拨款支出决算表</w:t>
      </w:r>
    </w:p>
    <w:p>
      <w:pPr>
        <w:pStyle w:val="10"/>
        <w:spacing w:line="500" w:lineRule="exact"/>
        <w:rPr>
          <w:rFonts w:ascii="仿宋_GB2312" w:hAnsi="仿宋_GB2312" w:cs="仿宋_GB2312"/>
          <w:b w:val="0"/>
          <w:bCs w:val="0"/>
          <w:sz w:val="28"/>
          <w:szCs w:val="28"/>
        </w:rPr>
      </w:pPr>
      <w:r>
        <w:rPr>
          <w:rFonts w:hint="eastAsia" w:hAnsi="仿宋_GB2312"/>
          <w:b w:val="0"/>
          <w:bCs w:val="0"/>
          <w:sz w:val="28"/>
          <w:szCs w:val="28"/>
        </w:rPr>
        <w:t>第三部分</w:t>
      </w:r>
      <w:r>
        <w:rPr>
          <w:rFonts w:hAnsi="仿宋_GB2312"/>
          <w:b w:val="0"/>
          <w:bCs w:val="0"/>
          <w:sz w:val="28"/>
          <w:szCs w:val="28"/>
        </w:rPr>
        <w:t>20</w:t>
      </w:r>
      <w:r>
        <w:rPr>
          <w:rFonts w:hint="eastAsia" w:hAnsi="仿宋_GB2312"/>
          <w:b w:val="0"/>
          <w:bCs w:val="0"/>
          <w:sz w:val="28"/>
          <w:szCs w:val="28"/>
        </w:rPr>
        <w:t>2</w:t>
      </w:r>
      <w:r>
        <w:rPr>
          <w:rFonts w:hint="eastAsia" w:hAnsi="仿宋_GB2312"/>
          <w:b w:val="0"/>
          <w:bCs w:val="0"/>
          <w:sz w:val="28"/>
          <w:szCs w:val="28"/>
          <w:lang w:val="en-US" w:eastAsia="zh-CN"/>
        </w:rPr>
        <w:t>1</w:t>
      </w:r>
      <w:r>
        <w:rPr>
          <w:rFonts w:hint="eastAsia" w:hAnsi="仿宋_GB2312"/>
          <w:b w:val="0"/>
          <w:bCs w:val="0"/>
          <w:sz w:val="28"/>
          <w:szCs w:val="28"/>
        </w:rPr>
        <w:t>年度部门决算情况说明</w:t>
      </w:r>
    </w:p>
    <w:p>
      <w:pPr>
        <w:pStyle w:val="10"/>
        <w:spacing w:line="500" w:lineRule="exact"/>
        <w:ind w:firstLine="700" w:firstLineChars="250"/>
        <w:rPr>
          <w:rFonts w:cs="仿宋_GB2312" w:asciiTheme="minorEastAsia" w:hAnsiTheme="minorEastAsia" w:eastAsiaTheme="minorEastAsia"/>
          <w:b w:val="0"/>
          <w:bCs w:val="0"/>
          <w:sz w:val="28"/>
          <w:szCs w:val="28"/>
        </w:rPr>
      </w:pPr>
      <w:r>
        <w:rPr>
          <w:rFonts w:cs="仿宋_GB2312" w:asciiTheme="minorEastAsia" w:hAnsiTheme="minorEastAsia" w:eastAsiaTheme="minorEastAsia"/>
          <w:b w:val="0"/>
          <w:bCs w:val="0"/>
          <w:sz w:val="28"/>
          <w:szCs w:val="28"/>
        </w:rPr>
        <w:t>一、收入支出决算总体情况说明</w:t>
      </w:r>
    </w:p>
    <w:p>
      <w:pPr>
        <w:spacing w:line="500" w:lineRule="exact"/>
        <w:ind w:firstLine="700" w:firstLineChars="250"/>
        <w:jc w:val="left"/>
        <w:rPr>
          <w:rFonts w:ascii="仿宋_GB2312" w:hAnsi="仿宋_GB2312" w:cs="仿宋_GB2312"/>
          <w:b w:val="0"/>
          <w:bCs w:val="0"/>
          <w:sz w:val="28"/>
          <w:szCs w:val="28"/>
        </w:rPr>
      </w:pPr>
      <w:r>
        <w:rPr>
          <w:rFonts w:ascii="仿宋_GB2312" w:hAnsi="仿宋_GB2312" w:cs="仿宋_GB2312"/>
          <w:b w:val="0"/>
          <w:bCs w:val="0"/>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ascii="仿宋_GB2312" w:hAnsi="仿宋_GB2312" w:cs="仿宋_GB2312"/>
          <w:b w:val="0"/>
          <w:bCs w:val="0"/>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八</w:t>
      </w:r>
      <w:r>
        <w:rPr>
          <w:rFonts w:ascii="仿宋_GB2312" w:hAnsi="仿宋_GB2312" w:cs="仿宋_GB2312"/>
          <w:b w:val="0"/>
          <w:bCs w:val="0"/>
          <w:color w:val="000000"/>
          <w:kern w:val="0"/>
          <w:sz w:val="28"/>
          <w:szCs w:val="28"/>
        </w:rPr>
        <w:t>、</w:t>
      </w:r>
      <w:r>
        <w:rPr>
          <w:rFonts w:hint="eastAsia" w:ascii="仿宋_GB2312" w:hAnsi="仿宋_GB2312" w:cs="仿宋_GB2312"/>
          <w:b w:val="0"/>
          <w:bCs w:val="0"/>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九、</w:t>
      </w:r>
      <w:r>
        <w:rPr>
          <w:rFonts w:hint="eastAsia" w:ascii="仿宋_GB2312" w:hAnsi="仿宋_GB2312" w:cs="仿宋_GB2312"/>
          <w:b w:val="0"/>
          <w:bCs w:val="0"/>
          <w:color w:val="000000"/>
          <w:kern w:val="0"/>
          <w:sz w:val="28"/>
          <w:szCs w:val="28"/>
        </w:rPr>
        <w:t>关于机关运行经费支出说明</w:t>
      </w:r>
    </w:p>
    <w:p>
      <w:pPr>
        <w:autoSpaceDE w:val="0"/>
        <w:autoSpaceDN w:val="0"/>
        <w:adjustRightInd w:val="0"/>
        <w:spacing w:line="500" w:lineRule="exact"/>
        <w:ind w:firstLine="700" w:firstLineChars="250"/>
        <w:jc w:val="left"/>
        <w:rPr>
          <w:rFonts w:hint="eastAsia"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b w:val="0"/>
          <w:bCs w:val="0"/>
          <w:color w:val="000000"/>
          <w:kern w:val="0"/>
          <w:sz w:val="28"/>
          <w:szCs w:val="28"/>
        </w:rPr>
      </w:pPr>
      <w:r>
        <w:rPr>
          <w:rFonts w:hint="eastAsia" w:ascii="仿宋_GB2312" w:hAnsi="仿宋_GB2312" w:cs="仿宋_GB2312"/>
          <w:b w:val="0"/>
          <w:bCs w:val="0"/>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b w:val="0"/>
          <w:bCs w:val="0"/>
          <w:sz w:val="28"/>
          <w:szCs w:val="28"/>
        </w:rPr>
      </w:pPr>
      <w:r>
        <w:rPr>
          <w:rFonts w:hint="eastAsia" w:ascii="仿宋_GB2312" w:hAnsi="仿宋_GB2312" w:cs="仿宋_GB2312" w:eastAsiaTheme="minorEastAsia"/>
          <w:b w:val="0"/>
          <w:bCs w:val="0"/>
          <w:sz w:val="28"/>
          <w:szCs w:val="28"/>
        </w:rPr>
        <w:t>十二、关于国有资产占用情况说明</w:t>
      </w:r>
    </w:p>
    <w:p>
      <w:pPr>
        <w:pStyle w:val="10"/>
        <w:spacing w:line="500" w:lineRule="exact"/>
        <w:ind w:firstLine="700" w:firstLineChars="250"/>
        <w:rPr>
          <w:rFonts w:ascii="仿宋_GB2312" w:hAnsi="仿宋_GB2312" w:cs="仿宋_GB2312" w:eastAsiaTheme="minorEastAsia"/>
          <w:b w:val="0"/>
          <w:bCs w:val="0"/>
          <w:sz w:val="28"/>
          <w:szCs w:val="28"/>
        </w:rPr>
      </w:pPr>
      <w:r>
        <w:rPr>
          <w:rFonts w:hint="eastAsia" w:ascii="仿宋_GB2312" w:hAnsi="仿宋_GB2312" w:cs="仿宋_GB2312" w:eastAsiaTheme="minorEastAsia"/>
          <w:b w:val="0"/>
          <w:bCs w:val="0"/>
          <w:sz w:val="28"/>
          <w:szCs w:val="28"/>
        </w:rPr>
        <w:t>十三、关</w:t>
      </w:r>
      <w:r>
        <w:rPr>
          <w:rFonts w:hint="eastAsia" w:cs="仿宋_GB2312" w:asciiTheme="minorEastAsia" w:hAnsiTheme="minorEastAsia" w:eastAsiaTheme="minorEastAsia"/>
          <w:b w:val="0"/>
          <w:bCs w:val="0"/>
          <w:sz w:val="28"/>
          <w:szCs w:val="28"/>
        </w:rPr>
        <w:t>于202</w:t>
      </w:r>
      <w:r>
        <w:rPr>
          <w:rFonts w:hint="eastAsia" w:cs="仿宋_GB2312" w:asciiTheme="minorEastAsia" w:hAnsiTheme="minorEastAsia" w:eastAsiaTheme="minorEastAsia"/>
          <w:b w:val="0"/>
          <w:bCs w:val="0"/>
          <w:sz w:val="28"/>
          <w:szCs w:val="28"/>
          <w:lang w:val="en-US" w:eastAsia="zh-CN"/>
        </w:rPr>
        <w:t>1</w:t>
      </w:r>
      <w:r>
        <w:rPr>
          <w:rFonts w:hint="eastAsia" w:cs="仿宋_GB2312" w:asciiTheme="minorEastAsia" w:hAnsiTheme="minorEastAsia" w:eastAsiaTheme="minorEastAsia"/>
          <w:b w:val="0"/>
          <w:bCs w:val="0"/>
          <w:sz w:val="28"/>
          <w:szCs w:val="28"/>
        </w:rPr>
        <w:t>年</w:t>
      </w:r>
      <w:r>
        <w:rPr>
          <w:rFonts w:hint="eastAsia" w:ascii="仿宋_GB2312" w:hAnsi="仿宋_GB2312" w:cs="仿宋_GB2312" w:eastAsiaTheme="minorEastAsia"/>
          <w:b w:val="0"/>
          <w:bCs w:val="0"/>
          <w:sz w:val="28"/>
          <w:szCs w:val="28"/>
        </w:rPr>
        <w:t>度预算绩效情况的说明</w:t>
      </w:r>
    </w:p>
    <w:p>
      <w:pPr>
        <w:autoSpaceDE w:val="0"/>
        <w:autoSpaceDN w:val="0"/>
        <w:adjustRightInd w:val="0"/>
        <w:spacing w:line="500" w:lineRule="exact"/>
        <w:jc w:val="left"/>
        <w:rPr>
          <w:rFonts w:ascii="黑体" w:hAnsi="黑体" w:eastAsia="黑体" w:cs="黑体"/>
          <w:b w:val="0"/>
          <w:bCs w:val="0"/>
          <w:color w:val="000000"/>
          <w:kern w:val="0"/>
          <w:sz w:val="28"/>
          <w:szCs w:val="28"/>
        </w:rPr>
      </w:pPr>
      <w:r>
        <w:rPr>
          <w:rFonts w:ascii="黑体" w:hAnsi="黑体" w:eastAsia="黑体" w:cs="黑体"/>
          <w:b w:val="0"/>
          <w:bCs w:val="0"/>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val="0"/>
          <w:bCs w:val="0"/>
          <w:color w:val="000000"/>
          <w:kern w:val="0"/>
          <w:sz w:val="28"/>
          <w:szCs w:val="28"/>
        </w:rPr>
      </w:pPr>
      <w:r>
        <w:rPr>
          <w:rFonts w:hint="eastAsia" w:ascii="黑体" w:hAnsi="黑体" w:eastAsia="黑体" w:cs="黑体"/>
          <w:b w:val="0"/>
          <w:bCs w:val="0"/>
          <w:color w:val="000000"/>
          <w:kern w:val="0"/>
          <w:sz w:val="28"/>
          <w:szCs w:val="28"/>
        </w:rPr>
        <w:t>第五部分附件</w:t>
      </w: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rPr>
          <w:b w:val="0"/>
          <w:bCs w:val="0"/>
          <w:sz w:val="72"/>
          <w:szCs w:val="72"/>
        </w:rPr>
      </w:pPr>
    </w:p>
    <w:p>
      <w:pPr>
        <w:pStyle w:val="10"/>
        <w:jc w:val="center"/>
        <w:rPr>
          <w:rFonts w:hint="eastAsia"/>
          <w:sz w:val="84"/>
          <w:szCs w:val="84"/>
        </w:rPr>
      </w:pPr>
      <w:r>
        <w:rPr>
          <w:rFonts w:hint="eastAsia"/>
          <w:sz w:val="84"/>
          <w:szCs w:val="84"/>
        </w:rPr>
        <w:t xml:space="preserve">第一部分 </w:t>
      </w:r>
    </w:p>
    <w:p>
      <w:pPr>
        <w:pStyle w:val="10"/>
        <w:jc w:val="center"/>
        <w:rPr>
          <w:rFonts w:hint="eastAsia"/>
          <w:sz w:val="84"/>
          <w:szCs w:val="84"/>
        </w:rPr>
      </w:pPr>
    </w:p>
    <w:p>
      <w:pPr>
        <w:pStyle w:val="10"/>
        <w:jc w:val="center"/>
        <w:rPr>
          <w:rFonts w:hint="eastAsia"/>
          <w:sz w:val="84"/>
          <w:szCs w:val="84"/>
        </w:rPr>
      </w:pPr>
      <w:r>
        <w:rPr>
          <w:rFonts w:hint="eastAsia"/>
          <w:sz w:val="84"/>
          <w:szCs w:val="84"/>
        </w:rPr>
        <w:t>单位概况</w:t>
      </w: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pStyle w:val="11"/>
        <w:numPr>
          <w:ilvl w:val="0"/>
          <w:numId w:val="0"/>
        </w:numPr>
        <w:jc w:val="left"/>
        <w:rPr>
          <w:rFonts w:hint="eastAsia" w:ascii="黑体" w:hAnsi="黑体" w:eastAsia="黑体"/>
          <w:b w:val="0"/>
          <w:bCs w:val="0"/>
          <w:sz w:val="32"/>
          <w:szCs w:val="32"/>
          <w:lang w:eastAsia="zh-CN"/>
        </w:rPr>
      </w:pPr>
    </w:p>
    <w:p>
      <w:pPr>
        <w:pStyle w:val="11"/>
        <w:keepNext w:val="0"/>
        <w:keepLines w:val="0"/>
        <w:pageBreakBefore w:val="0"/>
        <w:numPr>
          <w:ilvl w:val="0"/>
          <w:numId w:val="1"/>
        </w:numPr>
        <w:kinsoku/>
        <w:wordWrap/>
        <w:overflowPunct/>
        <w:topLinePunct w:val="0"/>
        <w:autoSpaceDE/>
        <w:autoSpaceDN/>
        <w:bidi w:val="0"/>
        <w:adjustRightInd/>
        <w:snapToGrid/>
        <w:spacing w:line="592" w:lineRule="exact"/>
        <w:ind w:left="958" w:leftChars="304" w:right="0" w:rightChars="0" w:hanging="320" w:hangingChars="100"/>
        <w:jc w:val="left"/>
        <w:textAlignment w:val="auto"/>
        <w:outlineLvl w:val="9"/>
        <w:rPr>
          <w:rFonts w:ascii="黑体" w:hAnsi="黑体" w:eastAsia="黑体"/>
          <w:b w:val="0"/>
          <w:bCs w:val="0"/>
          <w:sz w:val="32"/>
          <w:szCs w:val="32"/>
        </w:rPr>
      </w:pPr>
      <w:r>
        <w:rPr>
          <w:rFonts w:ascii="黑体" w:hAnsi="黑体" w:eastAsia="黑体"/>
          <w:b w:val="0"/>
          <w:bCs w:val="0"/>
          <w:sz w:val="32"/>
          <w:szCs w:val="32"/>
        </w:rPr>
        <w:t>部门职责</w:t>
      </w:r>
    </w:p>
    <w:p>
      <w:pPr>
        <w:pStyle w:val="11"/>
        <w:keepNext w:val="0"/>
        <w:keepLines w:val="0"/>
        <w:pageBreakBefore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(一)制定全省机关事业单位基本养老保险和职业年金业务经办规程、工作规范并组织实施;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(二)指导全省机关事业单位养老保险经办机构业务经办和基金风险防控管理工作,指导省本级和中央驻湘机关事业单位办理养老保险业务;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(三)负责省本级和中央驻湘机关事业单位参保登记、账户管理、养老金待遇核定和支付,组织开展省本级和中央驻湘机关事业单位退休人员养老保险待遇领取资格认证工作,实施基本养老金社会化发放工作;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(四)负责省本级和中央驻湘机关事业单位参保人员养老保险关系转移接续、个人权益记录管理服务和个人权益查询服务；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(五)负责全省和中央驻湘机关事业单位职业年金的计划建立、基金归集、账户管理、投资运营、待遇支付、信息披露,监督职业年金计划管理情况,组织指导和考核全省经办机构开展职业年金经办管理工作;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(六)提出机关事业单位养老保险信息化建设业务需求,参与机关事业单位养老保险信息系统建设管理工作；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(七)制定并实施省本级和中央驻湘机关事业单位养老保险稽核、内部风险防控制度。受理省本级和中央驻湘机关事业单位养老保险业务经办方面的咨询与查询,协助有关部门处理来信来访；</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xml:space="preserve">  (八)执行统计报表制度,编制年度、季度、月度业务和财务报表;编制机关事业单位基金预决算报表；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960" w:firstLineChars="3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(九)组织开展机关事业单位养老保险相关宣传、信息披露和培训工作；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firstLine="960" w:firstLineChars="300"/>
        <w:jc w:val="left"/>
        <w:textAlignment w:val="auto"/>
        <w:outlineLvl w:val="9"/>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(十)承办厅里交办的其他工作。</w:t>
      </w:r>
    </w:p>
    <w:p>
      <w:pPr>
        <w:keepNext w:val="0"/>
        <w:keepLines w:val="0"/>
        <w:pageBreakBefore w:val="0"/>
        <w:widowControl/>
        <w:kinsoku/>
        <w:wordWrap/>
        <w:overflowPunct/>
        <w:topLinePunct w:val="0"/>
        <w:autoSpaceDE/>
        <w:autoSpaceDN/>
        <w:bidi w:val="0"/>
        <w:adjustRightInd/>
        <w:snapToGrid/>
        <w:spacing w:afterAutospacing="0" w:line="592" w:lineRule="exact"/>
        <w:ind w:right="0" w:rightChars="0" w:firstLine="640" w:firstLineChars="200"/>
        <w:textAlignment w:val="auto"/>
        <w:outlineLvl w:val="9"/>
        <w:rPr>
          <w:rFonts w:ascii="黑体" w:hAnsi="黑体" w:eastAsia="黑体"/>
          <w:b w:val="0"/>
          <w:bCs w:val="0"/>
          <w:kern w:val="0"/>
          <w:sz w:val="32"/>
          <w:szCs w:val="32"/>
        </w:rPr>
      </w:pPr>
      <w:r>
        <w:rPr>
          <w:rFonts w:hint="eastAsia" w:ascii="黑体" w:hAnsi="黑体" w:eastAsia="黑体"/>
          <w:b w:val="0"/>
          <w:bCs w:val="0"/>
          <w:kern w:val="0"/>
          <w:sz w:val="32"/>
          <w:szCs w:val="32"/>
          <w:lang w:eastAsia="zh-CN"/>
        </w:rPr>
        <w:t>二、</w:t>
      </w:r>
      <w:r>
        <w:rPr>
          <w:rFonts w:hint="eastAsia" w:ascii="黑体" w:hAnsi="黑体" w:eastAsia="黑体"/>
          <w:b w:val="0"/>
          <w:bCs w:val="0"/>
          <w:kern w:val="0"/>
          <w:sz w:val="32"/>
          <w:szCs w:val="32"/>
        </w:rPr>
        <w:t>机构设置及决算单位构成</w:t>
      </w:r>
    </w:p>
    <w:p>
      <w:pPr>
        <w:keepNext w:val="0"/>
        <w:keepLines w:val="0"/>
        <w:pageBreakBefore w:val="0"/>
        <w:widowControl/>
        <w:kinsoku/>
        <w:wordWrap/>
        <w:overflowPunct/>
        <w:topLinePunct w:val="0"/>
        <w:autoSpaceDE/>
        <w:autoSpaceDN/>
        <w:bidi w:val="0"/>
        <w:adjustRightInd/>
        <w:snapToGrid/>
        <w:spacing w:line="592"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（一）内设机构设置</w:t>
      </w:r>
    </w:p>
    <w:p>
      <w:pPr>
        <w:keepNext w:val="0"/>
        <w:keepLines w:val="0"/>
        <w:pageBreakBefore w:val="0"/>
        <w:widowControl/>
        <w:kinsoku/>
        <w:wordWrap/>
        <w:overflowPunct/>
        <w:topLinePunct w:val="0"/>
        <w:autoSpaceDE/>
        <w:autoSpaceDN/>
        <w:bidi w:val="0"/>
        <w:adjustRightInd/>
        <w:snapToGrid/>
        <w:spacing w:line="592" w:lineRule="exact"/>
        <w:ind w:right="0" w:rightChars="0" w:firstLine="640" w:firstLineChars="200"/>
        <w:textAlignment w:val="auto"/>
        <w:outlineLvl w:val="9"/>
        <w:rPr>
          <w:rFonts w:hint="default" w:asciiTheme="minorEastAsia" w:hAnsiTheme="minorEastAsia"/>
          <w:b w:val="0"/>
          <w:bCs w:val="0"/>
          <w:kern w:val="0"/>
          <w:sz w:val="32"/>
          <w:szCs w:val="32"/>
        </w:rPr>
      </w:pPr>
      <w:r>
        <w:rPr>
          <w:rFonts w:hint="eastAsia" w:ascii="仿宋_GB2312" w:hAnsi="仿宋_GB2312" w:eastAsia="仿宋_GB2312" w:cs="仿宋_GB2312"/>
          <w:b w:val="0"/>
          <w:bCs w:val="0"/>
          <w:kern w:val="0"/>
          <w:sz w:val="32"/>
          <w:szCs w:val="32"/>
        </w:rPr>
        <w:t>湖南省机关事业单位养老保险管理服务中心内设</w:t>
      </w:r>
      <w:r>
        <w:rPr>
          <w:rFonts w:hint="eastAsia" w:ascii="仿宋_GB2312" w:hAnsi="仿宋_GB2312" w:eastAsia="仿宋_GB2312" w:cs="仿宋_GB2312"/>
          <w:b w:val="0"/>
          <w:bCs w:val="0"/>
          <w:kern w:val="0"/>
          <w:sz w:val="32"/>
          <w:szCs w:val="32"/>
          <w:lang w:eastAsia="zh-CN"/>
        </w:rPr>
        <w:t>科室</w:t>
      </w:r>
      <w:r>
        <w:rPr>
          <w:rFonts w:hint="eastAsia" w:ascii="仿宋_GB2312" w:hAnsi="仿宋_GB2312" w:eastAsia="仿宋_GB2312" w:cs="仿宋_GB2312"/>
          <w:b w:val="0"/>
          <w:bCs w:val="0"/>
          <w:kern w:val="0"/>
          <w:sz w:val="32"/>
          <w:szCs w:val="32"/>
        </w:rPr>
        <w:t>包括：综合稽核科、财务科、业务指导科、</w:t>
      </w:r>
      <w:r>
        <w:rPr>
          <w:rFonts w:hint="eastAsia" w:ascii="仿宋_GB2312" w:hAnsi="仿宋_GB2312" w:eastAsia="仿宋_GB2312" w:cs="仿宋_GB2312"/>
          <w:b w:val="0"/>
          <w:bCs w:val="0"/>
          <w:kern w:val="0"/>
          <w:sz w:val="32"/>
          <w:szCs w:val="32"/>
          <w:lang w:eastAsia="zh-CN"/>
        </w:rPr>
        <w:t>待遇科、公共业务科、</w:t>
      </w:r>
      <w:r>
        <w:rPr>
          <w:rFonts w:hint="eastAsia" w:ascii="仿宋_GB2312" w:hAnsi="仿宋_GB2312" w:eastAsia="仿宋_GB2312" w:cs="仿宋_GB2312"/>
          <w:b w:val="0"/>
          <w:bCs w:val="0"/>
          <w:kern w:val="0"/>
          <w:sz w:val="32"/>
          <w:szCs w:val="32"/>
        </w:rPr>
        <w:t>年金科。</w:t>
      </w:r>
    </w:p>
    <w:p>
      <w:pPr>
        <w:keepNext w:val="0"/>
        <w:keepLines w:val="0"/>
        <w:pageBreakBefore w:val="0"/>
        <w:widowControl/>
        <w:numPr>
          <w:ilvl w:val="0"/>
          <w:numId w:val="2"/>
        </w:numPr>
        <w:kinsoku/>
        <w:wordWrap/>
        <w:overflowPunct/>
        <w:topLinePunct w:val="0"/>
        <w:autoSpaceDE/>
        <w:autoSpaceDN/>
        <w:bidi w:val="0"/>
        <w:adjustRightInd/>
        <w:snapToGrid/>
        <w:spacing w:line="592" w:lineRule="exact"/>
        <w:ind w:right="0" w:rightChars="0" w:firstLine="640" w:firstLineChars="200"/>
        <w:textAlignment w:val="auto"/>
        <w:outlineLvl w:val="9"/>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决算单位构成</w:t>
      </w:r>
    </w:p>
    <w:p>
      <w:pPr>
        <w:keepNext w:val="0"/>
        <w:keepLines w:val="0"/>
        <w:pageBreakBefore w:val="0"/>
        <w:widowControl/>
        <w:numPr>
          <w:ilvl w:val="0"/>
          <w:numId w:val="0"/>
        </w:numPr>
        <w:kinsoku/>
        <w:wordWrap/>
        <w:overflowPunct/>
        <w:topLinePunct w:val="0"/>
        <w:autoSpaceDE/>
        <w:autoSpaceDN/>
        <w:bidi w:val="0"/>
        <w:adjustRightInd/>
        <w:snapToGrid/>
        <w:spacing w:line="592" w:lineRule="exact"/>
        <w:ind w:right="0" w:rightChars="0" w:firstLine="640" w:firstLineChars="200"/>
        <w:textAlignment w:val="auto"/>
        <w:outlineLvl w:val="9"/>
        <w:rPr>
          <w:rFonts w:hint="eastAsia" w:ascii="仿宋_GB2312" w:hAnsi="仿宋_GB2312" w:eastAsia="仿宋_GB2312" w:cs="仿宋_GB2312"/>
          <w:b w:val="0"/>
          <w:bCs w:val="0"/>
          <w:kern w:val="0"/>
          <w:sz w:val="32"/>
          <w:szCs w:val="32"/>
          <w:lang w:val="en-US"/>
        </w:rPr>
      </w:pPr>
      <w:r>
        <w:rPr>
          <w:rFonts w:hint="eastAsia" w:ascii="仿宋_GB2312" w:hAnsi="仿宋_GB2312" w:eastAsia="仿宋_GB2312" w:cs="仿宋_GB2312"/>
          <w:b w:val="0"/>
          <w:bCs w:val="0"/>
          <w:kern w:val="0"/>
          <w:sz w:val="32"/>
          <w:szCs w:val="32"/>
        </w:rPr>
        <w:t>湖南省机关事业单位养老保险管理服务中心202</w:t>
      </w: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年部门决算汇总公开单位构成包括：湖南省机关事业单位养老保险管理服务中心</w:t>
      </w:r>
      <w:r>
        <w:rPr>
          <w:rFonts w:hint="eastAsia" w:ascii="仿宋_GB2312" w:hAnsi="仿宋_GB2312" w:eastAsia="仿宋_GB2312" w:cs="仿宋_GB2312"/>
          <w:b w:val="0"/>
          <w:bCs w:val="0"/>
          <w:kern w:val="0"/>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right="0" w:rightChars="0"/>
        <w:jc w:val="left"/>
        <w:textAlignment w:val="auto"/>
        <w:outlineLvl w:val="9"/>
        <w:rPr>
          <w:rFonts w:ascii="仿宋_GB2312" w:eastAsia="仿宋_GB2312" w:hAnsiTheme="minorEastAsia"/>
          <w:b w:val="0"/>
          <w:bCs w:val="0"/>
          <w:sz w:val="28"/>
          <w:szCs w:val="32"/>
        </w:rPr>
      </w:pPr>
    </w:p>
    <w:p>
      <w:pPr>
        <w:jc w:val="center"/>
        <w:rPr>
          <w:rFonts w:ascii="黑体" w:hAnsi="黑体" w:eastAsia="黑体"/>
          <w:b w:val="0"/>
          <w:bCs w:val="0"/>
          <w:sz w:val="28"/>
          <w:szCs w:val="28"/>
        </w:rPr>
      </w:pPr>
    </w:p>
    <w:p>
      <w:pPr>
        <w:jc w:val="both"/>
        <w:rPr>
          <w:rFonts w:ascii="黑体" w:hAnsi="黑体" w:eastAsia="黑体"/>
          <w:b w:val="0"/>
          <w:bCs w:val="0"/>
          <w:sz w:val="28"/>
          <w:szCs w:val="28"/>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r>
        <w:rPr>
          <w:rFonts w:hint="eastAsia"/>
          <w:sz w:val="72"/>
          <w:szCs w:val="72"/>
        </w:rPr>
        <w:t>第二部分</w:t>
      </w:r>
    </w:p>
    <w:p>
      <w:pPr>
        <w:pStyle w:val="10"/>
        <w:jc w:val="center"/>
        <w:rPr>
          <w:rFonts w:hint="eastAsia"/>
          <w:sz w:val="72"/>
          <w:szCs w:val="72"/>
        </w:rPr>
      </w:pPr>
    </w:p>
    <w:p>
      <w:pPr>
        <w:pStyle w:val="10"/>
        <w:jc w:val="center"/>
        <w:rPr>
          <w:rFonts w:hint="eastAsia"/>
          <w:sz w:val="72"/>
          <w:szCs w:val="72"/>
        </w:rPr>
      </w:pPr>
      <w:r>
        <w:rPr>
          <w:rFonts w:hint="eastAsia"/>
          <w:sz w:val="72"/>
          <w:szCs w:val="72"/>
        </w:rPr>
        <w:t>部门决算表</w:t>
      </w:r>
    </w:p>
    <w:p>
      <w:pPr>
        <w:pStyle w:val="10"/>
        <w:jc w:val="center"/>
        <w:rPr>
          <w:rFonts w:hint="eastAsia"/>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center"/>
        <w:rPr>
          <w:b w:val="0"/>
          <w:bCs w:val="0"/>
          <w:sz w:val="72"/>
          <w:szCs w:val="72"/>
        </w:rPr>
      </w:pPr>
    </w:p>
    <w:p>
      <w:pPr>
        <w:jc w:val="left"/>
        <w:rPr>
          <w:b w:val="0"/>
          <w:bCs w:val="0"/>
          <w:sz w:val="32"/>
          <w:szCs w:val="32"/>
        </w:rPr>
      </w:pPr>
    </w:p>
    <w:p>
      <w:pPr>
        <w:jc w:val="left"/>
        <w:rPr>
          <w:rFonts w:asciiTheme="minorEastAsia" w:hAnsiTheme="minorEastAsia"/>
          <w:b w:val="0"/>
          <w:bCs w:val="0"/>
          <w:sz w:val="32"/>
          <w:szCs w:val="32"/>
        </w:rPr>
        <w:sectPr>
          <w:pgSz w:w="11906" w:h="16838"/>
          <w:pgMar w:top="1984" w:right="283" w:bottom="1814" w:left="283" w:header="851" w:footer="992" w:gutter="0"/>
          <w:cols w:space="0" w:num="1"/>
          <w:rtlGutter w:val="0"/>
          <w:docGrid w:type="lines" w:linePitch="318" w:charSpace="0"/>
        </w:sectPr>
      </w:pPr>
    </w:p>
    <w:tbl>
      <w:tblPr>
        <w:tblStyle w:val="6"/>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0000"/>
                <w:kern w:val="0"/>
                <w:sz w:val="32"/>
                <w:szCs w:val="32"/>
              </w:rPr>
            </w:pPr>
            <w:r>
              <w:rPr>
                <w:rFonts w:hint="eastAsia" w:ascii="华文中宋" w:hAnsi="华文中宋" w:eastAsia="华文中宋" w:cs="宋体"/>
                <w:b w:val="0"/>
                <w:bCs w:val="0"/>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公开01表</w:t>
            </w:r>
          </w:p>
        </w:tc>
      </w:tr>
      <w:tr>
        <w:tblPrEx>
          <w:tblCellMar>
            <w:top w:w="0" w:type="dxa"/>
            <w:left w:w="108" w:type="dxa"/>
            <w:bottom w:w="0" w:type="dxa"/>
            <w:right w:w="108" w:type="dxa"/>
          </w:tblCellMar>
        </w:tblPrEx>
        <w:trPr>
          <w:trHeight w:val="9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b w:val="0"/>
                <w:bCs w:val="0"/>
                <w:color w:val="000000"/>
                <w:kern w:val="0"/>
                <w:sz w:val="20"/>
                <w:szCs w:val="20"/>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r>
              <w:rPr>
                <w:rFonts w:hint="eastAsia" w:ascii="Times New Roman" w:hAnsi="Times New Roman" w:eastAsia="仿宋_GB2312" w:cs="Times New Roman"/>
                <w:color w:val="000000"/>
                <w:kern w:val="0"/>
                <w:szCs w:val="21"/>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597.36</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kern w:val="0"/>
                <w:sz w:val="22"/>
                <w:lang w:eastAsia="zh-CN"/>
              </w:rPr>
            </w:pPr>
            <w:r>
              <w:rPr>
                <w:rFonts w:hint="eastAsia" w:ascii="宋体" w:hAnsi="宋体" w:eastAsia="宋体" w:cs="宋体"/>
                <w:b w:val="0"/>
                <w:bCs w:val="0"/>
                <w:kern w:val="0"/>
                <w:sz w:val="22"/>
                <w:lang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537.65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val="0"/>
                <w:bCs w:val="0"/>
                <w:kern w:val="0"/>
                <w:sz w:val="22"/>
                <w:lang w:eastAsia="zh-CN"/>
              </w:rPr>
            </w:pPr>
            <w:r>
              <w:rPr>
                <w:rFonts w:hint="eastAsia" w:ascii="宋体" w:hAnsi="宋体" w:eastAsia="宋体" w:cs="宋体"/>
                <w:b w:val="0"/>
                <w:bCs w:val="0"/>
                <w:kern w:val="0"/>
                <w:sz w:val="24"/>
                <w:szCs w:val="24"/>
              </w:rPr>
              <w:t>……</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2"/>
                <w:lang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35.79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597.36</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2"/>
                <w:lang w:val="en-US"/>
              </w:rPr>
            </w:pPr>
            <w:r>
              <w:rPr>
                <w:rFonts w:hint="eastAsia" w:ascii="宋体" w:hAnsi="宋体" w:eastAsia="宋体" w:cs="宋体"/>
                <w:b w:val="0"/>
                <w:bCs w:val="0"/>
                <w:kern w:val="0"/>
                <w:sz w:val="22"/>
                <w:lang w:val="en-US" w:eastAsia="zh-CN"/>
              </w:rPr>
              <w:t>573.44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17.87</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41.78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615.23</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615.23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注：1.本表反映部门本年度的总收支和年末结转结余情况。</w:t>
            </w:r>
          </w:p>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 2.本套报表金额单位转换时可能存在尾数误差。</w:t>
            </w:r>
          </w:p>
        </w:tc>
      </w:tr>
    </w:tbl>
    <w:p>
      <w:pPr>
        <w:jc w:val="center"/>
        <w:rPr>
          <w:rFonts w:ascii="黑体" w:hAnsi="黑体" w:eastAsia="黑体"/>
          <w:b w:val="0"/>
          <w:bCs w:val="0"/>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400" w:type="dxa"/>
        <w:tblInd w:w="0" w:type="dxa"/>
        <w:tblLayout w:type="fixed"/>
        <w:tblCellMar>
          <w:top w:w="0" w:type="dxa"/>
          <w:left w:w="0" w:type="dxa"/>
          <w:bottom w:w="0" w:type="dxa"/>
          <w:right w:w="0" w:type="dxa"/>
        </w:tblCellMar>
      </w:tblPr>
      <w:tblGrid>
        <w:gridCol w:w="315"/>
        <w:gridCol w:w="612"/>
        <w:gridCol w:w="195"/>
        <w:gridCol w:w="878"/>
        <w:gridCol w:w="1567"/>
        <w:gridCol w:w="104"/>
        <w:gridCol w:w="1621"/>
        <w:gridCol w:w="2070"/>
        <w:gridCol w:w="1680"/>
        <w:gridCol w:w="1380"/>
        <w:gridCol w:w="1305"/>
        <w:gridCol w:w="1305"/>
        <w:gridCol w:w="1368"/>
      </w:tblGrid>
      <w:tr>
        <w:tblPrEx>
          <w:tblCellMar>
            <w:top w:w="0" w:type="dxa"/>
            <w:left w:w="0" w:type="dxa"/>
            <w:bottom w:w="0" w:type="dxa"/>
            <w:right w:w="0" w:type="dxa"/>
          </w:tblCellMar>
        </w:tblPrEx>
        <w:trPr>
          <w:trHeight w:val="435" w:hRule="atLeast"/>
        </w:trPr>
        <w:tc>
          <w:tcPr>
            <w:tcW w:w="14400" w:type="dxa"/>
            <w:gridSpan w:val="13"/>
            <w:tcBorders>
              <w:top w:val="nil"/>
              <w:left w:val="nil"/>
              <w:bottom w:val="nil"/>
              <w:right w:val="nil"/>
            </w:tcBorders>
            <w:shd w:val="clear" w:color="auto" w:fill="auto"/>
            <w:tcMar>
              <w:top w:w="15" w:type="dxa"/>
              <w:left w:w="15" w:type="dxa"/>
              <w:bottom w:w="0" w:type="dxa"/>
              <w:right w:w="15" w:type="dxa"/>
            </w:tcMar>
            <w:vAlign w:val="center"/>
          </w:tcPr>
          <w:p>
            <w:pPr>
              <w:jc w:val="center"/>
              <w:rPr>
                <w:rFonts w:ascii="华文中宋" w:hAnsi="华文中宋" w:eastAsia="华文中宋" w:cs="宋体"/>
                <w:b w:val="0"/>
                <w:bCs w:val="0"/>
                <w:color w:val="000000"/>
                <w:sz w:val="32"/>
                <w:szCs w:val="32"/>
              </w:rPr>
            </w:pPr>
            <w:r>
              <w:rPr>
                <w:rFonts w:hint="eastAsia" w:ascii="华文中宋" w:hAnsi="华文中宋" w:eastAsia="华文中宋"/>
                <w:b w:val="0"/>
                <w:bCs w:val="0"/>
                <w:color w:val="000000"/>
                <w:sz w:val="32"/>
                <w:szCs w:val="32"/>
              </w:rPr>
              <w:t>收入决算表</w:t>
            </w:r>
          </w:p>
        </w:tc>
      </w:tr>
      <w:tr>
        <w:tblPrEx>
          <w:tblCellMar>
            <w:top w:w="0" w:type="dxa"/>
            <w:left w:w="0" w:type="dxa"/>
            <w:bottom w:w="0" w:type="dxa"/>
            <w:right w:w="0" w:type="dxa"/>
          </w:tblCellMar>
        </w:tblPrEx>
        <w:trPr>
          <w:trHeight w:val="285" w:hRule="atLeast"/>
        </w:trPr>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807"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87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671"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3691"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68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color w:val="000000"/>
                <w:sz w:val="20"/>
                <w:szCs w:val="20"/>
              </w:rPr>
            </w:pPr>
            <w:r>
              <w:rPr>
                <w:rFonts w:hint="eastAsia"/>
                <w:b w:val="0"/>
                <w:bCs w:val="0"/>
                <w:color w:val="000000"/>
                <w:sz w:val="20"/>
                <w:szCs w:val="20"/>
              </w:rPr>
              <w:t>公开02表</w:t>
            </w:r>
          </w:p>
        </w:tc>
      </w:tr>
      <w:tr>
        <w:tblPrEx>
          <w:tblCellMar>
            <w:top w:w="0" w:type="dxa"/>
            <w:left w:w="0" w:type="dxa"/>
            <w:bottom w:w="0" w:type="dxa"/>
            <w:right w:w="0" w:type="dxa"/>
          </w:tblCellMar>
        </w:tblPrEx>
        <w:trPr>
          <w:trHeight w:val="285" w:hRule="atLeast"/>
        </w:trPr>
        <w:tc>
          <w:tcPr>
            <w:tcW w:w="7362" w:type="dxa"/>
            <w:gridSpan w:val="8"/>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b w:val="0"/>
                <w:bCs w:val="0"/>
                <w:sz w:val="24"/>
                <w:szCs w:val="24"/>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r>
              <w:rPr>
                <w:rFonts w:hint="eastAsia" w:ascii="Times New Roman" w:hAnsi="Times New Roman" w:eastAsia="仿宋_GB2312" w:cs="Times New Roman"/>
                <w:color w:val="000000"/>
                <w:kern w:val="0"/>
                <w:szCs w:val="21"/>
              </w:rPr>
              <w:t xml:space="preserve"> </w:t>
            </w:r>
            <w:r>
              <w:rPr>
                <w:rFonts w:hint="eastAsia"/>
                <w:b w:val="0"/>
                <w:bCs w:val="0"/>
              </w:rPr>
              <w:t>　</w:t>
            </w:r>
          </w:p>
        </w:tc>
        <w:tc>
          <w:tcPr>
            <w:tcW w:w="1680"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color w:val="000000"/>
                <w:sz w:val="20"/>
                <w:szCs w:val="20"/>
              </w:rPr>
            </w:pPr>
            <w:r>
              <w:rPr>
                <w:rFonts w:hint="eastAsia"/>
                <w:b w:val="0"/>
                <w:bCs w:val="0"/>
                <w:color w:val="000000"/>
                <w:sz w:val="20"/>
                <w:szCs w:val="20"/>
              </w:rPr>
              <w:t>　</w:t>
            </w:r>
          </w:p>
        </w:tc>
        <w:tc>
          <w:tcPr>
            <w:tcW w:w="138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b w:val="0"/>
                <w:bCs w:val="0"/>
                <w:color w:val="000000"/>
                <w:sz w:val="20"/>
                <w:szCs w:val="20"/>
              </w:rPr>
            </w:pPr>
            <w:r>
              <w:rPr>
                <w:rFonts w:hint="eastAsia"/>
                <w:b w:val="0"/>
                <w:bCs w:val="0"/>
                <w:color w:val="000000"/>
                <w:sz w:val="20"/>
                <w:szCs w:val="20"/>
              </w:rPr>
              <w:t>单位：万元</w:t>
            </w:r>
          </w:p>
        </w:tc>
      </w:tr>
      <w:tr>
        <w:tblPrEx>
          <w:tblCellMar>
            <w:top w:w="0" w:type="dxa"/>
            <w:left w:w="0" w:type="dxa"/>
            <w:bottom w:w="0" w:type="dxa"/>
            <w:right w:w="0" w:type="dxa"/>
          </w:tblCellMar>
        </w:tblPrEx>
        <w:trPr>
          <w:trHeight w:val="450" w:hRule="atLeast"/>
        </w:trPr>
        <w:tc>
          <w:tcPr>
            <w:tcW w:w="356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项    目</w:t>
            </w:r>
          </w:p>
        </w:tc>
        <w:tc>
          <w:tcPr>
            <w:tcW w:w="172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本年收入合计</w:t>
            </w:r>
          </w:p>
        </w:tc>
        <w:tc>
          <w:tcPr>
            <w:tcW w:w="20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财政拨款收入</w:t>
            </w:r>
          </w:p>
        </w:tc>
        <w:tc>
          <w:tcPr>
            <w:tcW w:w="16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上级补助收入</w:t>
            </w:r>
          </w:p>
        </w:tc>
        <w:tc>
          <w:tcPr>
            <w:tcW w:w="138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事业收入</w:t>
            </w:r>
          </w:p>
        </w:tc>
        <w:tc>
          <w:tcPr>
            <w:tcW w:w="13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经营收入</w:t>
            </w:r>
          </w:p>
        </w:tc>
        <w:tc>
          <w:tcPr>
            <w:tcW w:w="13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附属单位上缴收入</w:t>
            </w:r>
          </w:p>
        </w:tc>
        <w:tc>
          <w:tcPr>
            <w:tcW w:w="13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其他收入</w:t>
            </w:r>
          </w:p>
        </w:tc>
      </w:tr>
      <w:tr>
        <w:tblPrEx>
          <w:tblCellMar>
            <w:top w:w="0" w:type="dxa"/>
            <w:left w:w="0" w:type="dxa"/>
            <w:bottom w:w="0" w:type="dxa"/>
            <w:right w:w="0" w:type="dxa"/>
          </w:tblCellMar>
        </w:tblPrEx>
        <w:trPr>
          <w:trHeight w:val="450" w:hRule="atLeast"/>
        </w:trPr>
        <w:tc>
          <w:tcPr>
            <w:tcW w:w="92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功能分类科目编码</w:t>
            </w:r>
          </w:p>
        </w:tc>
        <w:tc>
          <w:tcPr>
            <w:tcW w:w="2640"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科目名称</w:t>
            </w: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r>
      <w:tr>
        <w:tblPrEx>
          <w:tblCellMar>
            <w:top w:w="0" w:type="dxa"/>
            <w:left w:w="0" w:type="dxa"/>
            <w:bottom w:w="0" w:type="dxa"/>
            <w:right w:w="0" w:type="dxa"/>
          </w:tblCellMar>
        </w:tblPrEx>
        <w:trPr>
          <w:trHeight w:val="450" w:hRule="atLeast"/>
        </w:trPr>
        <w:tc>
          <w:tcPr>
            <w:tcW w:w="92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2640"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val="0"/>
                <w:bCs w:val="0"/>
                <w:sz w:val="24"/>
                <w:szCs w:val="24"/>
              </w:rPr>
            </w:pPr>
          </w:p>
        </w:tc>
      </w:tr>
      <w:tr>
        <w:tblPrEx>
          <w:tblCellMar>
            <w:top w:w="0" w:type="dxa"/>
            <w:left w:w="0" w:type="dxa"/>
            <w:bottom w:w="0" w:type="dxa"/>
            <w:right w:w="0" w:type="dxa"/>
          </w:tblCellMar>
        </w:tblPrEx>
        <w:trPr>
          <w:trHeight w:val="450" w:hRule="atLeast"/>
        </w:trPr>
        <w:tc>
          <w:tcPr>
            <w:tcW w:w="356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栏次</w:t>
            </w:r>
          </w:p>
        </w:tc>
        <w:tc>
          <w:tcPr>
            <w:tcW w:w="1725"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1</w:t>
            </w:r>
          </w:p>
        </w:tc>
        <w:tc>
          <w:tcPr>
            <w:tcW w:w="207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2</w:t>
            </w:r>
          </w:p>
        </w:tc>
        <w:tc>
          <w:tcPr>
            <w:tcW w:w="16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3</w:t>
            </w:r>
          </w:p>
        </w:tc>
        <w:tc>
          <w:tcPr>
            <w:tcW w:w="138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4</w:t>
            </w:r>
          </w:p>
        </w:tc>
        <w:tc>
          <w:tcPr>
            <w:tcW w:w="130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5</w:t>
            </w:r>
          </w:p>
        </w:tc>
        <w:tc>
          <w:tcPr>
            <w:tcW w:w="130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6</w:t>
            </w:r>
          </w:p>
        </w:tc>
        <w:tc>
          <w:tcPr>
            <w:tcW w:w="1368"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7</w:t>
            </w:r>
          </w:p>
        </w:tc>
      </w:tr>
      <w:tr>
        <w:tblPrEx>
          <w:tblCellMar>
            <w:top w:w="0" w:type="dxa"/>
            <w:left w:w="0" w:type="dxa"/>
            <w:bottom w:w="0" w:type="dxa"/>
            <w:right w:w="0" w:type="dxa"/>
          </w:tblCellMar>
        </w:tblPrEx>
        <w:trPr>
          <w:trHeight w:val="450" w:hRule="atLeast"/>
        </w:trPr>
        <w:tc>
          <w:tcPr>
            <w:tcW w:w="3567"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合计</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Theme="minorEastAsia" w:hAnsiTheme="minorEastAsia" w:eastAsiaTheme="minorEastAsia" w:cstheme="minorEastAsia"/>
                <w:b w:val="0"/>
                <w:bCs w:val="0"/>
                <w:sz w:val="22"/>
                <w:szCs w:val="22"/>
              </w:rPr>
            </w:pPr>
            <w:r>
              <w:rPr>
                <w:rFonts w:hint="eastAsia" w:asciiTheme="minorEastAsia" w:hAnsiTheme="minorEastAsia" w:cstheme="minorEastAsia"/>
                <w:b w:val="0"/>
                <w:bCs w:val="0"/>
                <w:sz w:val="22"/>
                <w:szCs w:val="22"/>
                <w:lang w:val="en-US" w:eastAsia="zh-CN"/>
              </w:rPr>
              <w:t>597.36</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eastAsiaTheme="minorEastAsia" w:cstheme="minorEastAsia"/>
                <w:b w:val="0"/>
                <w:bCs w:val="0"/>
                <w:sz w:val="22"/>
                <w:szCs w:val="22"/>
                <w:lang w:val="en-US"/>
              </w:rPr>
            </w:pPr>
            <w:r>
              <w:rPr>
                <w:rFonts w:hint="eastAsia" w:asciiTheme="minorEastAsia" w:hAnsiTheme="minorEastAsia" w:cstheme="minorEastAsia"/>
                <w:b w:val="0"/>
                <w:bCs w:val="0"/>
                <w:sz w:val="22"/>
                <w:szCs w:val="22"/>
                <w:lang w:val="en-US" w:eastAsia="zh-CN"/>
              </w:rPr>
              <w:t>597.36</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553"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2080101</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s="宋体"/>
                <w:b w:val="0"/>
                <w:bCs w:val="0"/>
                <w:sz w:val="24"/>
                <w:szCs w:val="24"/>
              </w:rPr>
            </w:pPr>
            <w:r>
              <w:rPr>
                <w:rFonts w:hint="eastAsia"/>
                <w:b w:val="0"/>
                <w:bCs w:val="0"/>
              </w:rPr>
              <w:t>行政运行</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eastAsia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26.45</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eastAsia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26.45</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515"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2080109</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s="宋体"/>
                <w:b w:val="0"/>
                <w:bCs w:val="0"/>
                <w:sz w:val="24"/>
                <w:szCs w:val="24"/>
              </w:rPr>
            </w:pPr>
            <w:r>
              <w:rPr>
                <w:rFonts w:hint="eastAsia"/>
                <w:b w:val="0"/>
                <w:bCs w:val="0"/>
              </w:rPr>
              <w:t>社会保险经办机构</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eastAsia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467.61</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eastAsia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467.61</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599"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b w:val="0"/>
                <w:bCs w:val="0"/>
              </w:rPr>
            </w:pPr>
            <w:r>
              <w:rPr>
                <w:rFonts w:hint="eastAsia"/>
                <w:b w:val="0"/>
                <w:bCs w:val="0"/>
              </w:rPr>
              <w:t>2089999</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hint="eastAsia"/>
                <w:b w:val="0"/>
                <w:bCs w:val="0"/>
              </w:rPr>
            </w:pPr>
            <w:r>
              <w:rPr>
                <w:rFonts w:hint="eastAsia"/>
                <w:b w:val="0"/>
                <w:bCs w:val="0"/>
              </w:rPr>
              <w:t>其他社会保障和就业支出</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51.30</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51.30</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r>
      <w:tr>
        <w:tblPrEx>
          <w:tblCellMar>
            <w:top w:w="0" w:type="dxa"/>
            <w:left w:w="0" w:type="dxa"/>
            <w:bottom w:w="0" w:type="dxa"/>
            <w:right w:w="0" w:type="dxa"/>
          </w:tblCellMar>
        </w:tblPrEx>
        <w:trPr>
          <w:trHeight w:val="565"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eastAsia"/>
                <w:b w:val="0"/>
                <w:bCs w:val="0"/>
              </w:rPr>
            </w:pPr>
            <w:r>
              <w:rPr>
                <w:rFonts w:hint="eastAsia"/>
                <w:b w:val="0"/>
                <w:bCs w:val="0"/>
              </w:rPr>
              <w:t>2109999</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hint="eastAsia"/>
                <w:b w:val="0"/>
                <w:bCs w:val="0"/>
              </w:rPr>
            </w:pPr>
            <w:r>
              <w:rPr>
                <w:rFonts w:hint="eastAsia"/>
                <w:b w:val="0"/>
                <w:bCs w:val="0"/>
              </w:rPr>
              <w:t>其他卫生健康支出</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16.00</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16.00</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b w:val="0"/>
                <w:bCs w:val="0"/>
              </w:rPr>
            </w:pPr>
          </w:p>
        </w:tc>
      </w:tr>
      <w:tr>
        <w:tblPrEx>
          <w:tblCellMar>
            <w:top w:w="0" w:type="dxa"/>
            <w:left w:w="0" w:type="dxa"/>
            <w:bottom w:w="0" w:type="dxa"/>
            <w:right w:w="0" w:type="dxa"/>
          </w:tblCellMar>
        </w:tblPrEx>
        <w:trPr>
          <w:trHeight w:val="552" w:hRule="atLeast"/>
        </w:trPr>
        <w:tc>
          <w:tcPr>
            <w:tcW w:w="927"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b w:val="0"/>
                <w:bCs w:val="0"/>
                <w:sz w:val="24"/>
                <w:szCs w:val="24"/>
              </w:rPr>
            </w:pPr>
            <w:r>
              <w:rPr>
                <w:rFonts w:hint="eastAsia"/>
                <w:b w:val="0"/>
                <w:bCs w:val="0"/>
              </w:rPr>
              <w:t>2210201</w:t>
            </w:r>
          </w:p>
        </w:tc>
        <w:tc>
          <w:tcPr>
            <w:tcW w:w="2640" w:type="dxa"/>
            <w:gridSpan w:val="3"/>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s="宋体"/>
                <w:b w:val="0"/>
                <w:bCs w:val="0"/>
                <w:sz w:val="24"/>
                <w:szCs w:val="24"/>
              </w:rPr>
            </w:pPr>
            <w:r>
              <w:rPr>
                <w:rFonts w:hint="eastAsia"/>
                <w:b w:val="0"/>
                <w:bCs w:val="0"/>
              </w:rPr>
              <w:t>住房公积金</w:t>
            </w:r>
          </w:p>
        </w:tc>
        <w:tc>
          <w:tcPr>
            <w:tcW w:w="17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abs>
                <w:tab w:val="center" w:pos="847"/>
                <w:tab w:val="right" w:pos="2025"/>
              </w:tabs>
              <w:jc w:val="center"/>
              <w:rPr>
                <w:rFonts w:hint="default" w:asciiTheme="minorEastAsia" w:hAnsiTheme="minorEastAsia" w:eastAsiaTheme="minorEastAsia" w:cstheme="minorEastAsia"/>
                <w:b w:val="0"/>
                <w:bCs w:val="0"/>
                <w:sz w:val="22"/>
                <w:szCs w:val="22"/>
                <w:lang w:val="en-US"/>
              </w:rPr>
            </w:pPr>
            <w:r>
              <w:rPr>
                <w:rFonts w:hint="eastAsia" w:asciiTheme="minorEastAsia" w:hAnsiTheme="minorEastAsia" w:eastAsiaTheme="minorEastAsia" w:cstheme="minorEastAsia"/>
                <w:b w:val="0"/>
                <w:bCs w:val="0"/>
                <w:sz w:val="22"/>
                <w:szCs w:val="22"/>
                <w:lang w:eastAsia="zh-CN"/>
              </w:rPr>
              <w:t>3</w:t>
            </w:r>
            <w:r>
              <w:rPr>
                <w:rFonts w:hint="eastAsia" w:asciiTheme="minorEastAsia" w:hAnsiTheme="minorEastAsia" w:cstheme="minorEastAsia"/>
                <w:b w:val="0"/>
                <w:bCs w:val="0"/>
                <w:sz w:val="22"/>
                <w:szCs w:val="22"/>
                <w:lang w:val="en-US" w:eastAsia="zh-CN"/>
              </w:rPr>
              <w:t>6.00</w:t>
            </w:r>
          </w:p>
        </w:tc>
        <w:tc>
          <w:tcPr>
            <w:tcW w:w="207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rPr>
              <w:t>3</w:t>
            </w:r>
            <w:r>
              <w:rPr>
                <w:rFonts w:hint="eastAsia" w:asciiTheme="minorEastAsia" w:hAnsiTheme="minorEastAsia" w:cstheme="minorEastAsia"/>
                <w:b w:val="0"/>
                <w:bCs w:val="0"/>
                <w:sz w:val="22"/>
                <w:szCs w:val="22"/>
                <w:lang w:val="en-US" w:eastAsia="zh-CN"/>
              </w:rPr>
              <w:t>6.00</w:t>
            </w:r>
          </w:p>
        </w:tc>
        <w:tc>
          <w:tcPr>
            <w:tcW w:w="16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c>
          <w:tcPr>
            <w:tcW w:w="13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b w:val="0"/>
                <w:bCs w:val="0"/>
                <w:sz w:val="24"/>
                <w:szCs w:val="24"/>
              </w:rPr>
            </w:pPr>
            <w:r>
              <w:rPr>
                <w:rFonts w:hint="eastAsia"/>
                <w:b w:val="0"/>
                <w:bCs w:val="0"/>
              </w:rPr>
              <w:t>　</w:t>
            </w:r>
          </w:p>
        </w:tc>
      </w:tr>
      <w:tr>
        <w:tblPrEx>
          <w:tblCellMar>
            <w:top w:w="0" w:type="dxa"/>
            <w:left w:w="0" w:type="dxa"/>
            <w:bottom w:w="0" w:type="dxa"/>
            <w:right w:w="0" w:type="dxa"/>
          </w:tblCellMar>
        </w:tblPrEx>
        <w:trPr>
          <w:trHeight w:val="615" w:hRule="atLeast"/>
        </w:trPr>
        <w:tc>
          <w:tcPr>
            <w:tcW w:w="14400" w:type="dxa"/>
            <w:gridSpan w:val="13"/>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b w:val="0"/>
                <w:bCs w:val="0"/>
                <w:sz w:val="24"/>
                <w:szCs w:val="24"/>
              </w:rPr>
            </w:pPr>
            <w:r>
              <w:rPr>
                <w:rFonts w:hint="eastAsia"/>
                <w:b w:val="0"/>
                <w:bCs w:val="0"/>
              </w:rPr>
              <w:t>注：本表反映部门本年度取得的各项收入情况。</w:t>
            </w:r>
          </w:p>
        </w:tc>
      </w:tr>
    </w:tbl>
    <w:p>
      <w:pPr>
        <w:widowControl/>
        <w:jc w:val="left"/>
        <w:rPr>
          <w:rFonts w:ascii="Times New Roman" w:hAnsi="Times New Roman" w:eastAsia="黑体" w:cs="Times New Roman"/>
          <w:b w:val="0"/>
          <w:bCs w:val="0"/>
          <w:kern w:val="0"/>
          <w:sz w:val="32"/>
          <w:szCs w:val="32"/>
        </w:rPr>
      </w:pPr>
    </w:p>
    <w:p>
      <w:pPr>
        <w:widowControl/>
        <w:rPr>
          <w:rFonts w:ascii="Times New Roman" w:hAnsi="Times New Roman" w:eastAsia="方正小标宋_GBK" w:cs="Times New Roman"/>
          <w:b w:val="0"/>
          <w:bCs w:val="0"/>
          <w:color w:val="000000"/>
          <w:kern w:val="0"/>
          <w:sz w:val="36"/>
          <w:szCs w:val="36"/>
        </w:rPr>
      </w:pPr>
    </w:p>
    <w:p>
      <w:pPr>
        <w:widowControl/>
        <w:rPr>
          <w:rFonts w:ascii="Times New Roman" w:hAnsi="Times New Roman" w:eastAsia="方正小标宋_GBK" w:cs="Times New Roman"/>
          <w:b w:val="0"/>
          <w:bCs w:val="0"/>
          <w:color w:val="000000"/>
          <w:kern w:val="0"/>
          <w:sz w:val="36"/>
          <w:szCs w:val="36"/>
        </w:rPr>
      </w:pPr>
    </w:p>
    <w:p>
      <w:pPr>
        <w:widowControl/>
        <w:rPr>
          <w:rFonts w:ascii="Times New Roman" w:hAnsi="Times New Roman" w:eastAsia="方正小标宋_GBK" w:cs="Times New Roman"/>
          <w:b w:val="0"/>
          <w:bCs w:val="0"/>
          <w:color w:val="000000"/>
          <w:kern w:val="0"/>
          <w:sz w:val="36"/>
          <w:szCs w:val="36"/>
        </w:rPr>
      </w:pPr>
    </w:p>
    <w:p>
      <w:pPr>
        <w:widowControl/>
        <w:rPr>
          <w:rFonts w:ascii="Times New Roman" w:hAnsi="Times New Roman" w:eastAsia="方正小标宋_GBK" w:cs="Times New Roman"/>
          <w:b w:val="0"/>
          <w:bCs w:val="0"/>
          <w:color w:val="000000"/>
          <w:kern w:val="0"/>
          <w:sz w:val="36"/>
          <w:szCs w:val="36"/>
        </w:rPr>
      </w:pPr>
    </w:p>
    <w:tbl>
      <w:tblPr>
        <w:tblStyle w:val="6"/>
        <w:tblW w:w="14592" w:type="dxa"/>
        <w:tblInd w:w="91" w:type="dxa"/>
        <w:tblLayout w:type="fixed"/>
        <w:tblCellMar>
          <w:top w:w="0" w:type="dxa"/>
          <w:left w:w="108" w:type="dxa"/>
          <w:bottom w:w="0" w:type="dxa"/>
          <w:right w:w="108" w:type="dxa"/>
        </w:tblCellMar>
      </w:tblPr>
      <w:tblGrid>
        <w:gridCol w:w="1042"/>
        <w:gridCol w:w="240"/>
        <w:gridCol w:w="4217"/>
        <w:gridCol w:w="1750"/>
        <w:gridCol w:w="1188"/>
        <w:gridCol w:w="2010"/>
        <w:gridCol w:w="1390"/>
        <w:gridCol w:w="1203"/>
        <w:gridCol w:w="1552"/>
      </w:tblGrid>
      <w:tr>
        <w:tblPrEx>
          <w:tblCellMar>
            <w:top w:w="0" w:type="dxa"/>
            <w:left w:w="108" w:type="dxa"/>
            <w:bottom w:w="0" w:type="dxa"/>
            <w:right w:w="108" w:type="dxa"/>
          </w:tblCellMar>
        </w:tblPrEx>
        <w:trPr>
          <w:trHeight w:val="435" w:hRule="atLeast"/>
        </w:trPr>
        <w:tc>
          <w:tcPr>
            <w:tcW w:w="14592"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0000"/>
                <w:kern w:val="0"/>
                <w:sz w:val="32"/>
                <w:szCs w:val="32"/>
              </w:rPr>
            </w:pPr>
            <w:r>
              <w:rPr>
                <w:rFonts w:hint="eastAsia" w:ascii="华文中宋" w:hAnsi="华文中宋" w:eastAsia="华文中宋" w:cs="宋体"/>
                <w:b w:val="0"/>
                <w:bCs w:val="0"/>
                <w:color w:val="000000"/>
                <w:kern w:val="0"/>
                <w:sz w:val="32"/>
                <w:szCs w:val="32"/>
              </w:rPr>
              <w:t>支出决算表</w:t>
            </w:r>
          </w:p>
        </w:tc>
      </w:tr>
      <w:tr>
        <w:tblPrEx>
          <w:tblCellMar>
            <w:top w:w="0" w:type="dxa"/>
            <w:left w:w="108" w:type="dxa"/>
            <w:bottom w:w="0" w:type="dxa"/>
            <w:right w:w="108" w:type="dxa"/>
          </w:tblCellMar>
        </w:tblPrEx>
        <w:trPr>
          <w:trHeight w:val="325" w:hRule="atLeast"/>
        </w:trPr>
        <w:tc>
          <w:tcPr>
            <w:tcW w:w="1042"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4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217"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75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188"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01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499" w:type="dxa"/>
            <w:gridSpan w:val="3"/>
            <w:tcBorders>
              <w:top w:val="nil"/>
              <w:left w:val="nil"/>
              <w:bottom w:val="nil"/>
              <w:right w:val="nil"/>
            </w:tcBorders>
            <w:shd w:val="clear" w:color="000000" w:fill="FFFFFF"/>
            <w:vAlign w:val="center"/>
          </w:tcPr>
          <w:p>
            <w:pPr>
              <w:widowControl/>
              <w:jc w:val="lef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p>
        </w:tc>
        <w:tc>
          <w:tcPr>
            <w:tcW w:w="175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188"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010" w:type="dxa"/>
            <w:tcBorders>
              <w:top w:val="nil"/>
              <w:left w:val="nil"/>
              <w:bottom w:val="nil"/>
              <w:right w:val="nil"/>
            </w:tcBorders>
            <w:shd w:val="clear" w:color="000000" w:fill="FFFFFF"/>
            <w:vAlign w:val="center"/>
          </w:tcPr>
          <w:p>
            <w:pPr>
              <w:widowControl/>
              <w:jc w:val="center"/>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　</w:t>
            </w:r>
          </w:p>
        </w:tc>
        <w:tc>
          <w:tcPr>
            <w:tcW w:w="1390"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49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17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本年支出合计</w:t>
            </w:r>
          </w:p>
        </w:tc>
        <w:tc>
          <w:tcPr>
            <w:tcW w:w="11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基本支出</w:t>
            </w:r>
          </w:p>
        </w:tc>
        <w:tc>
          <w:tcPr>
            <w:tcW w:w="20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项目支出</w:t>
            </w:r>
          </w:p>
        </w:tc>
        <w:tc>
          <w:tcPr>
            <w:tcW w:w="139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上缴上级支出</w:t>
            </w:r>
          </w:p>
        </w:tc>
        <w:tc>
          <w:tcPr>
            <w:tcW w:w="120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经营支出</w:t>
            </w:r>
          </w:p>
        </w:tc>
        <w:tc>
          <w:tcPr>
            <w:tcW w:w="15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对附属单位补助支出</w:t>
            </w:r>
          </w:p>
        </w:tc>
      </w:tr>
      <w:tr>
        <w:tblPrEx>
          <w:tblCellMar>
            <w:top w:w="0" w:type="dxa"/>
            <w:left w:w="108" w:type="dxa"/>
            <w:bottom w:w="0" w:type="dxa"/>
            <w:right w:w="108" w:type="dxa"/>
          </w:tblCellMar>
        </w:tblPrEx>
        <w:trPr>
          <w:trHeight w:val="450" w:hRule="atLeast"/>
        </w:trPr>
        <w:tc>
          <w:tcPr>
            <w:tcW w:w="128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功能分类科目编码</w:t>
            </w:r>
          </w:p>
        </w:tc>
        <w:tc>
          <w:tcPr>
            <w:tcW w:w="421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科目名称</w:t>
            </w:r>
          </w:p>
        </w:tc>
        <w:tc>
          <w:tcPr>
            <w:tcW w:w="1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50" w:hRule="atLeast"/>
        </w:trPr>
        <w:tc>
          <w:tcPr>
            <w:tcW w:w="12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42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50" w:hRule="atLeast"/>
        </w:trPr>
        <w:tc>
          <w:tcPr>
            <w:tcW w:w="549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栏次</w:t>
            </w:r>
          </w:p>
        </w:tc>
        <w:tc>
          <w:tcPr>
            <w:tcW w:w="17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118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c>
          <w:tcPr>
            <w:tcW w:w="20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w:t>
            </w:r>
          </w:p>
        </w:tc>
        <w:tc>
          <w:tcPr>
            <w:tcW w:w="13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4</w:t>
            </w:r>
          </w:p>
        </w:tc>
        <w:tc>
          <w:tcPr>
            <w:tcW w:w="120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5</w:t>
            </w:r>
          </w:p>
        </w:tc>
        <w:tc>
          <w:tcPr>
            <w:tcW w:w="155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6</w:t>
            </w:r>
          </w:p>
        </w:tc>
      </w:tr>
      <w:tr>
        <w:tblPrEx>
          <w:tblCellMar>
            <w:top w:w="0" w:type="dxa"/>
            <w:left w:w="108" w:type="dxa"/>
            <w:bottom w:w="0" w:type="dxa"/>
            <w:right w:w="108" w:type="dxa"/>
          </w:tblCellMar>
        </w:tblPrEx>
        <w:trPr>
          <w:trHeight w:val="1584" w:hRule="atLeast"/>
        </w:trPr>
        <w:tc>
          <w:tcPr>
            <w:tcW w:w="549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573.44</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512.77</w:t>
            </w: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60.67</w:t>
            </w:r>
          </w:p>
        </w:tc>
        <w:tc>
          <w:tcPr>
            <w:tcW w:w="13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662"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2080101</w:t>
            </w:r>
          </w:p>
        </w:tc>
        <w:tc>
          <w:tcPr>
            <w:tcW w:w="42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行政运行</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26.92</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lang w:eastAsia="zh-CN"/>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26.92</w:t>
            </w:r>
          </w:p>
        </w:tc>
        <w:tc>
          <w:tcPr>
            <w:tcW w:w="13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637"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2080109</w:t>
            </w:r>
          </w:p>
        </w:tc>
        <w:tc>
          <w:tcPr>
            <w:tcW w:w="42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社会保险经办机构</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478.32</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476.98</w:t>
            </w: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1.35</w:t>
            </w:r>
          </w:p>
        </w:tc>
        <w:tc>
          <w:tcPr>
            <w:tcW w:w="13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699"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2089999</w:t>
            </w:r>
          </w:p>
        </w:tc>
        <w:tc>
          <w:tcPr>
            <w:tcW w:w="42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其他社会保障和就业支出</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32.41</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lang w:eastAsia="zh-CN"/>
              </w:rPr>
            </w:pP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32.41</w:t>
            </w:r>
          </w:p>
        </w:tc>
        <w:tc>
          <w:tcPr>
            <w:tcW w:w="13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637" w:hRule="atLeast"/>
        </w:trPr>
        <w:tc>
          <w:tcPr>
            <w:tcW w:w="128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2210201</w:t>
            </w:r>
          </w:p>
        </w:tc>
        <w:tc>
          <w:tcPr>
            <w:tcW w:w="42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住房公积金</w:t>
            </w:r>
          </w:p>
        </w:tc>
        <w:tc>
          <w:tcPr>
            <w:tcW w:w="17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35.79</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35.79</w:t>
            </w:r>
          </w:p>
        </w:tc>
        <w:tc>
          <w:tcPr>
            <w:tcW w:w="20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lang w:val="en-US" w:eastAsia="zh-CN"/>
              </w:rPr>
            </w:pPr>
          </w:p>
        </w:tc>
        <w:tc>
          <w:tcPr>
            <w:tcW w:w="139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20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630" w:hRule="atLeast"/>
        </w:trPr>
        <w:tc>
          <w:tcPr>
            <w:tcW w:w="14592" w:type="dxa"/>
            <w:gridSpan w:val="9"/>
            <w:tcBorders>
              <w:top w:val="nil"/>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注：本表反映部门本年度各项支出情况。</w:t>
            </w:r>
          </w:p>
        </w:tc>
      </w:tr>
    </w:tbl>
    <w:p>
      <w:pPr>
        <w:widowControl/>
        <w:ind w:left="93"/>
        <w:jc w:val="center"/>
        <w:rPr>
          <w:rFonts w:ascii="Times New Roman" w:hAnsi="Times New Roman" w:eastAsia="方正小标宋_GBK" w:cs="Times New Roman"/>
          <w:b w:val="0"/>
          <w:bCs w:val="0"/>
          <w:color w:val="000000"/>
          <w:kern w:val="0"/>
          <w:sz w:val="36"/>
          <w:szCs w:val="21"/>
        </w:rPr>
      </w:pPr>
    </w:p>
    <w:p>
      <w:pPr>
        <w:widowControl/>
        <w:ind w:left="93"/>
        <w:jc w:val="center"/>
        <w:rPr>
          <w:rFonts w:ascii="Times New Roman" w:hAnsi="Times New Roman" w:eastAsia="方正小标宋_GBK" w:cs="Times New Roman"/>
          <w:b w:val="0"/>
          <w:bCs w:val="0"/>
          <w:color w:val="000000"/>
          <w:kern w:val="0"/>
          <w:sz w:val="36"/>
          <w:szCs w:val="21"/>
        </w:rPr>
      </w:pPr>
    </w:p>
    <w:p>
      <w:pPr>
        <w:widowControl/>
        <w:jc w:val="both"/>
        <w:rPr>
          <w:rFonts w:ascii="Times New Roman" w:hAnsi="Times New Roman" w:eastAsia="方正小标宋_GBK" w:cs="Times New Roman"/>
          <w:b w:val="0"/>
          <w:bCs w:val="0"/>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65"/>
        <w:gridCol w:w="3424"/>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0000"/>
                <w:kern w:val="0"/>
                <w:sz w:val="32"/>
                <w:szCs w:val="32"/>
              </w:rPr>
            </w:pPr>
            <w:bookmarkStart w:id="0" w:name="RANGE!A1:I22"/>
            <w:bookmarkEnd w:id="0"/>
            <w:bookmarkStart w:id="1" w:name="RANGE!A1:F16"/>
            <w:r>
              <w:rPr>
                <w:rFonts w:hint="eastAsia" w:ascii="华文中宋" w:hAnsi="华文中宋" w:eastAsia="华文中宋" w:cs="宋体"/>
                <w:b w:val="0"/>
                <w:bCs w:val="0"/>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06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056"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公开04表</w:t>
            </w:r>
          </w:p>
        </w:tc>
      </w:tr>
      <w:tr>
        <w:tblPrEx>
          <w:tblCellMar>
            <w:top w:w="0" w:type="dxa"/>
            <w:left w:w="108" w:type="dxa"/>
            <w:bottom w:w="0" w:type="dxa"/>
            <w:right w:w="108" w:type="dxa"/>
          </w:tblCellMar>
        </w:tblPrEx>
        <w:trPr>
          <w:trHeight w:val="404" w:hRule="atLeast"/>
        </w:trPr>
        <w:tc>
          <w:tcPr>
            <w:tcW w:w="5096" w:type="dxa"/>
            <w:gridSpan w:val="3"/>
            <w:tcBorders>
              <w:top w:val="nil"/>
              <w:left w:val="nil"/>
              <w:bottom w:val="nil"/>
              <w:right w:val="nil"/>
            </w:tcBorders>
            <w:shd w:val="clear" w:color="000000" w:fill="FFFFFF"/>
            <w:vAlign w:val="center"/>
          </w:tcPr>
          <w:p>
            <w:pPr>
              <w:widowControl/>
              <w:jc w:val="left"/>
              <w:rPr>
                <w:rFonts w:ascii="宋体" w:hAnsi="宋体" w:eastAsia="宋体" w:cs="宋体"/>
                <w:b w:val="0"/>
                <w:bCs w:val="0"/>
                <w:kern w:val="0"/>
                <w:sz w:val="24"/>
                <w:szCs w:val="24"/>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p>
        </w:tc>
        <w:tc>
          <w:tcPr>
            <w:tcW w:w="4056"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09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收入</w:t>
            </w:r>
          </w:p>
        </w:tc>
        <w:tc>
          <w:tcPr>
            <w:tcW w:w="10425"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金额</w:t>
            </w:r>
          </w:p>
        </w:tc>
        <w:tc>
          <w:tcPr>
            <w:tcW w:w="3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3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597.36</w:t>
            </w: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3</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4</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5</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lang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19</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537.65</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537.65</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6</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7</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2"/>
                <w:lang w:eastAsia="zh-CN"/>
              </w:rPr>
              <w:t>十九、住房保障支出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21</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35.79</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35.79</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8</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4"/>
                <w:szCs w:val="24"/>
              </w:rPr>
              <w:t>……</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22</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本年收入合计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9</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597.36</w:t>
            </w:r>
          </w:p>
        </w:tc>
        <w:tc>
          <w:tcPr>
            <w:tcW w:w="3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23</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573.44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573.44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10</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17.87</w:t>
            </w:r>
          </w:p>
        </w:tc>
        <w:tc>
          <w:tcPr>
            <w:tcW w:w="34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41.78</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41.78</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11</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17.87</w:t>
            </w: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12</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13</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p>
        </w:tc>
        <w:tc>
          <w:tcPr>
            <w:tcW w:w="34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14</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615.23</w:t>
            </w:r>
          </w:p>
        </w:tc>
        <w:tc>
          <w:tcPr>
            <w:tcW w:w="342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rPr>
              <w:t>28</w:t>
            </w:r>
          </w:p>
        </w:tc>
        <w:tc>
          <w:tcPr>
            <w:tcW w:w="15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615.23</w:t>
            </w: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615.23</w:t>
            </w:r>
            <w:r>
              <w:rPr>
                <w:rFonts w:hint="eastAsia" w:ascii="宋体" w:hAnsi="宋体" w:eastAsia="宋体" w:cs="宋体"/>
                <w:b w:val="0"/>
                <w:bCs w:val="0"/>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b w:val="0"/>
          <w:bCs w:val="0"/>
          <w:kern w:val="0"/>
          <w:sz w:val="36"/>
          <w:szCs w:val="36"/>
        </w:rPr>
      </w:pPr>
    </w:p>
    <w:p>
      <w:pPr>
        <w:widowControl/>
        <w:jc w:val="center"/>
        <w:rPr>
          <w:rFonts w:ascii="Times New Roman" w:hAnsi="Times New Roman" w:eastAsia="方正小标宋_GBK" w:cs="Times New Roman"/>
          <w:b w:val="0"/>
          <w:bCs w:val="0"/>
          <w:kern w:val="0"/>
          <w:sz w:val="36"/>
          <w:szCs w:val="36"/>
        </w:rPr>
      </w:pPr>
    </w:p>
    <w:p>
      <w:pPr>
        <w:widowControl/>
        <w:jc w:val="center"/>
        <w:rPr>
          <w:rFonts w:hint="eastAsia" w:ascii="Times New Roman" w:hAnsi="Times New Roman" w:eastAsia="方正小标宋_GBK" w:cs="Times New Roman"/>
          <w:kern w:val="0"/>
          <w:sz w:val="36"/>
          <w:szCs w:val="36"/>
        </w:rPr>
      </w:pPr>
      <w:r>
        <w:rPr>
          <w:rFonts w:hint="eastAsia" w:ascii="Times New Roman" w:hAnsi="Times New Roman" w:eastAsia="方正小标宋_GBK" w:cs="Times New Roman"/>
          <w:kern w:val="0"/>
          <w:sz w:val="36"/>
          <w:szCs w:val="36"/>
        </w:rPr>
        <w:t>一般公共预算财政拨款支出决算表</w:t>
      </w:r>
      <w:bookmarkEnd w:id="1"/>
    </w:p>
    <w:p>
      <w:pPr>
        <w:keepNext w:val="0"/>
        <w:keepLines w:val="0"/>
        <w:pageBreakBefore w:val="0"/>
        <w:widowControl/>
        <w:kinsoku/>
        <w:wordWrap/>
        <w:overflowPunct/>
        <w:topLinePunct w:val="0"/>
        <w:autoSpaceDE/>
        <w:autoSpaceDN/>
        <w:bidi w:val="0"/>
        <w:adjustRightInd w:val="0"/>
        <w:snapToGrid w:val="0"/>
        <w:spacing w:before="156" w:beforeLines="50"/>
        <w:ind w:firstLine="630" w:firstLineChars="300"/>
        <w:jc w:val="both"/>
        <w:textAlignment w:val="auto"/>
        <w:rPr>
          <w:rFonts w:ascii="Times New Roman" w:hAnsi="Times New Roman" w:eastAsia="仿宋_GB2312" w:cs="Times New Roman"/>
          <w:b w:val="0"/>
          <w:bCs w:val="0"/>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公开05表</w:t>
      </w:r>
    </w:p>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b w:val="0"/>
          <w:bCs w:val="0"/>
          <w:color w:val="000000"/>
          <w:kern w:val="0"/>
          <w:sz w:val="20"/>
          <w:szCs w:val="20"/>
        </w:rPr>
      </w:pP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xml:space="preserve">项 </w:t>
            </w:r>
            <w:r>
              <w:rPr>
                <w:rFonts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b w:val="0"/>
                <w:bCs w:val="0"/>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b w:val="0"/>
                <w:bCs w:val="0"/>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573.44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512.77</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60.67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2080101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26.92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26.92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2080109</w:t>
            </w:r>
            <w:r>
              <w:rPr>
                <w:rFonts w:ascii="Times New Roman" w:hAnsi="Times New Roman" w:eastAsia="仿宋_GB2312" w:cs="Times New Roman"/>
                <w:b w:val="0"/>
                <w:bCs w:val="0"/>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社会保险经办机构</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478.32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476.98</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rPr>
            </w:pPr>
            <w:r>
              <w:rPr>
                <w:rFonts w:hint="eastAsia" w:asciiTheme="minorEastAsia" w:hAnsiTheme="minorEastAsia" w:cstheme="minorEastAsia"/>
                <w:b w:val="0"/>
                <w:bCs w:val="0"/>
                <w:kern w:val="0"/>
                <w:sz w:val="22"/>
                <w:szCs w:val="22"/>
                <w:lang w:val="en-US" w:eastAsia="zh-CN"/>
              </w:rPr>
              <w:t>1.35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2089999</w:t>
            </w:r>
            <w:r>
              <w:rPr>
                <w:rFonts w:ascii="Times New Roman" w:hAnsi="Times New Roman" w:eastAsia="仿宋_GB2312" w:cs="Times New Roman"/>
                <w:b w:val="0"/>
                <w:bCs w:val="0"/>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其他社会保障和就业支出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32.41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kern w:val="0"/>
                <w:sz w:val="22"/>
                <w:szCs w:val="22"/>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32.41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hint="eastAsia" w:ascii="Times New Roman" w:hAnsi="Times New Roman" w:eastAsia="仿宋_GB2312" w:cs="Times New Roman"/>
                <w:b w:val="0"/>
                <w:bCs w:val="0"/>
                <w:kern w:val="0"/>
                <w:szCs w:val="21"/>
              </w:rPr>
              <w:t>2210201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r>
              <w:rPr>
                <w:rFonts w:hint="eastAsia" w:ascii="Times New Roman" w:hAnsi="Times New Roman" w:eastAsia="仿宋_GB2312" w:cs="Times New Roman"/>
                <w:b w:val="0"/>
                <w:bCs w:val="0"/>
                <w:kern w:val="0"/>
                <w:szCs w:val="21"/>
              </w:rPr>
              <w:t>住房公积金</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35.79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b w:val="0"/>
                <w:bCs w:val="0"/>
                <w:kern w:val="0"/>
                <w:sz w:val="22"/>
                <w:szCs w:val="22"/>
                <w:lang w:val="en-US" w:eastAsia="zh-CN"/>
              </w:rPr>
            </w:pPr>
            <w:r>
              <w:rPr>
                <w:rFonts w:hint="eastAsia" w:asciiTheme="minorEastAsia" w:hAnsiTheme="minorEastAsia" w:cstheme="minorEastAsia"/>
                <w:b w:val="0"/>
                <w:bCs w:val="0"/>
                <w:kern w:val="0"/>
                <w:sz w:val="22"/>
                <w:szCs w:val="22"/>
                <w:lang w:val="en-US" w:eastAsia="zh-CN"/>
              </w:rPr>
              <w:t>35.79</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注：本表反映部门本年度一般公共预算财政拨款支出情况。</w:t>
            </w:r>
          </w:p>
        </w:tc>
      </w:tr>
    </w:tbl>
    <w:p>
      <w:pPr>
        <w:widowControl/>
        <w:jc w:val="left"/>
        <w:rPr>
          <w:rFonts w:ascii="Times New Roman" w:hAnsi="Times New Roman" w:eastAsia="仿宋_GB2312" w:cs="Times New Roman"/>
          <w:b w:val="0"/>
          <w:bCs w:val="0"/>
          <w:kern w:val="0"/>
          <w:szCs w:val="21"/>
        </w:rPr>
      </w:pPr>
    </w:p>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br w:type="page"/>
      </w:r>
    </w:p>
    <w:tbl>
      <w:tblPr>
        <w:tblStyle w:val="6"/>
        <w:tblW w:w="15614" w:type="dxa"/>
        <w:tblInd w:w="0" w:type="dxa"/>
        <w:tblLayout w:type="fixed"/>
        <w:tblCellMar>
          <w:top w:w="0" w:type="dxa"/>
          <w:left w:w="108" w:type="dxa"/>
          <w:bottom w:w="0" w:type="dxa"/>
          <w:right w:w="108" w:type="dxa"/>
        </w:tblCellMar>
      </w:tblPr>
      <w:tblGrid>
        <w:gridCol w:w="1339"/>
        <w:gridCol w:w="2685"/>
        <w:gridCol w:w="1091"/>
        <w:gridCol w:w="981"/>
        <w:gridCol w:w="2141"/>
        <w:gridCol w:w="1091"/>
        <w:gridCol w:w="1241"/>
        <w:gridCol w:w="3873"/>
        <w:gridCol w:w="1172"/>
      </w:tblGrid>
      <w:tr>
        <w:tblPrEx>
          <w:tblCellMar>
            <w:top w:w="0" w:type="dxa"/>
            <w:left w:w="108" w:type="dxa"/>
            <w:bottom w:w="0" w:type="dxa"/>
            <w:right w:w="108" w:type="dxa"/>
          </w:tblCellMar>
        </w:tblPrEx>
        <w:trPr>
          <w:trHeight w:val="836" w:hRule="atLeast"/>
        </w:trPr>
        <w:tc>
          <w:tcPr>
            <w:tcW w:w="15614"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b w:val="0"/>
                <w:bCs w:val="0"/>
                <w:color w:val="00B0F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b w:val="0"/>
                <w:bCs w:val="0"/>
                <w:color w:val="auto"/>
                <w:kern w:val="0"/>
                <w:szCs w:val="21"/>
              </w:rPr>
            </w:pPr>
            <w:r>
              <w:rPr>
                <w:rFonts w:hint="eastAsia" w:ascii="Times New Roman" w:hAnsi="Times New Roman" w:eastAsia="仿宋_GB2312" w:cs="Times New Roman"/>
                <w:b w:val="0"/>
                <w:bCs w:val="0"/>
                <w:color w:val="auto"/>
                <w:kern w:val="0"/>
                <w:szCs w:val="21"/>
              </w:rPr>
              <w:t xml:space="preserve">                                                                                                   公开06表</w:t>
            </w:r>
          </w:p>
          <w:p>
            <w:pPr>
              <w:widowControl/>
              <w:jc w:val="both"/>
              <w:rPr>
                <w:rFonts w:ascii="华文中宋" w:hAnsi="华文中宋" w:eastAsia="华文中宋" w:cs="宋体"/>
                <w:b w:val="0"/>
                <w:bCs w:val="0"/>
                <w:color w:val="auto"/>
                <w:kern w:val="0"/>
                <w:szCs w:val="32"/>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b w:val="0"/>
                <w:bCs w:val="0"/>
                <w:color w:val="auto"/>
                <w:kern w:val="0"/>
                <w:szCs w:val="21"/>
                <w:lang w:val="en-US" w:eastAsia="zh-CN"/>
              </w:rPr>
              <w:t xml:space="preserve">                                                                                           </w:t>
            </w:r>
            <w:r>
              <w:rPr>
                <w:rFonts w:hint="eastAsia" w:ascii="Times New Roman" w:hAnsi="Times New Roman" w:eastAsia="仿宋_GB2312" w:cs="Times New Roman"/>
                <w:b w:val="0"/>
                <w:bCs w:val="0"/>
                <w:color w:val="auto"/>
                <w:kern w:val="0"/>
                <w:szCs w:val="21"/>
              </w:rPr>
              <w:t>单位：万元</w:t>
            </w:r>
          </w:p>
        </w:tc>
      </w:tr>
      <w:tr>
        <w:tblPrEx>
          <w:tblCellMar>
            <w:top w:w="0" w:type="dxa"/>
            <w:left w:w="108" w:type="dxa"/>
            <w:bottom w:w="0" w:type="dxa"/>
            <w:right w:w="108" w:type="dxa"/>
          </w:tblCellMar>
        </w:tblPrEx>
        <w:trPr>
          <w:trHeight w:val="888"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 w:val="20"/>
                <w:szCs w:val="20"/>
              </w:rPr>
              <w:t>经济分类科目编码</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科目名称</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决算数</w:t>
            </w:r>
          </w:p>
        </w:tc>
        <w:tc>
          <w:tcPr>
            <w:tcW w:w="9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经济分类科目编码</w:t>
            </w: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科目名称</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决算数</w:t>
            </w:r>
          </w:p>
        </w:tc>
        <w:tc>
          <w:tcPr>
            <w:tcW w:w="12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经济分类科目编码</w:t>
            </w:r>
          </w:p>
        </w:tc>
        <w:tc>
          <w:tcPr>
            <w:tcW w:w="3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科目名称</w:t>
            </w:r>
          </w:p>
        </w:tc>
        <w:tc>
          <w:tcPr>
            <w:tcW w:w="11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决算数</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工资福利支出</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466.72</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商品和服务支出</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45.86</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307</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债务利息及费用支出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基本工资</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92.19</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30201</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办公费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rPr>
              <w:t>5.</w:t>
            </w:r>
            <w:r>
              <w:rPr>
                <w:rFonts w:hint="eastAsia" w:ascii="宋体" w:hAnsi="宋体" w:eastAsia="宋体" w:cs="宋体"/>
                <w:b w:val="0"/>
                <w:bCs w:val="0"/>
                <w:color w:val="auto"/>
                <w:kern w:val="0"/>
                <w:szCs w:val="20"/>
                <w:lang w:val="en-US" w:eastAsia="zh-CN"/>
              </w:rPr>
              <w:t>88</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30701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国内债务付息</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30102</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津贴补贴</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rPr>
            </w:pPr>
            <w:r>
              <w:rPr>
                <w:rFonts w:hint="eastAsia" w:ascii="宋体" w:hAnsi="宋体" w:eastAsia="宋体" w:cs="宋体"/>
                <w:b w:val="0"/>
                <w:bCs w:val="0"/>
                <w:color w:val="auto"/>
                <w:kern w:val="0"/>
                <w:szCs w:val="20"/>
                <w:lang w:val="en-US" w:eastAsia="zh-CN"/>
              </w:rPr>
              <w:t>86.40</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30202</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印刷费</w:t>
            </w:r>
          </w:p>
        </w:tc>
        <w:tc>
          <w:tcPr>
            <w:tcW w:w="1091" w:type="dxa"/>
            <w:tcBorders>
              <w:top w:val="nil"/>
              <w:left w:val="nil"/>
              <w:bottom w:val="single" w:color="auto" w:sz="4" w:space="0"/>
              <w:right w:val="single" w:color="auto" w:sz="4" w:space="0"/>
            </w:tcBorders>
            <w:shd w:val="clear" w:color="auto" w:fill="auto"/>
            <w:vAlign w:val="center"/>
          </w:tcPr>
          <w:p>
            <w:pPr>
              <w:widowControl/>
              <w:ind w:firstLine="210" w:firstLineChars="100"/>
              <w:jc w:val="both"/>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3.59</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30702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国外债务付息</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奖金</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25.98</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30203</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咨询费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资本性支出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30106</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伙食补助费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24.46</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30204</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手续费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房屋建筑物购建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30107</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绩效工资</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30205</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水费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办公设备购置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30108</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机关事业单位基本养老保险缴费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26.77</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30206</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电费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31003</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专用设备购置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30109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职业年金缴费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30207</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邮电费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3.33</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31005</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基础设施建设</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30110</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职工基本医疗保险缴费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21.15</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30208</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取暖费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31006</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大型修缮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公务员医疗补助缴费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rPr>
              <w:t>18.9</w:t>
            </w:r>
            <w:r>
              <w:rPr>
                <w:rFonts w:hint="eastAsia" w:ascii="宋体" w:hAnsi="宋体" w:eastAsia="宋体" w:cs="宋体"/>
                <w:b w:val="0"/>
                <w:bCs w:val="0"/>
                <w:color w:val="auto"/>
                <w:kern w:val="0"/>
                <w:szCs w:val="20"/>
                <w:lang w:val="en-US" w:eastAsia="zh-CN"/>
              </w:rPr>
              <w:t>9</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30209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物业管理费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31007</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信息网络及软件购置更新</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30112</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其他社会保障缴费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30211</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差旅费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5.93</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31008</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物资储备</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住房公积金</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35.79</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30212</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因公出国（境）费用</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31009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土地补偿</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30114</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医疗费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30213</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维修（护）费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rPr>
              <w:t>0.4</w:t>
            </w:r>
            <w:r>
              <w:rPr>
                <w:rFonts w:hint="eastAsia" w:ascii="宋体" w:hAnsi="宋体" w:eastAsia="宋体" w:cs="宋体"/>
                <w:b w:val="0"/>
                <w:bCs w:val="0"/>
                <w:color w:val="auto"/>
                <w:kern w:val="0"/>
                <w:szCs w:val="20"/>
                <w:lang w:val="en-US" w:eastAsia="zh-CN"/>
              </w:rPr>
              <w:t>2</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31010</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安置补助</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30199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其他工资福利支出</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134.99</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30214</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租赁费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地上附着物和青苗补偿</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对个人和家庭的补助</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0.19</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30215</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会议费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0.43</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拆迁补偿</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离休费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30216</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培训费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0.12</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31013</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公务用车购置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30302</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退休费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30217</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公务接待费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0.76</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31019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其他交通工具购置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30303</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退职（役）费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30218</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专用材料费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31021</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文物和陈列品购置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30304</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抚恤金</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30224</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被装购置费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31022</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无形资产购置</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30305</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生活补助</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30225</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专用燃料费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31099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其他资本性支出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30306</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救济费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30226</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劳务费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1.55</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其他支出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30307</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医疗费补助</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30227</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委托业务费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39906</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赠与</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30308</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助学金</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30228</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工会经费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3.08</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39907</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国家赔偿费用支出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30309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奖励金</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0.19</w:t>
            </w: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30229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福利费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39908</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对民间非营利组织和群众性自治组织补贴</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30310</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个人农业生产补贴</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30231</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公务用车运行维护费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39999</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其他支出</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30311</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代缴社会保险费</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30239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其他交通费用</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18.22</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30399</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其他对个人和家庭的补助</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30240</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税金及附加费用</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26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30299</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xml:space="preserve">  其他商品和服务支出</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auto"/>
                <w:kern w:val="0"/>
                <w:szCs w:val="20"/>
                <w:lang w:val="en-US" w:eastAsia="zh-CN"/>
              </w:rPr>
            </w:pPr>
            <w:r>
              <w:rPr>
                <w:rFonts w:hint="eastAsia" w:ascii="宋体" w:hAnsi="宋体" w:eastAsia="宋体" w:cs="宋体"/>
                <w:b w:val="0"/>
                <w:bCs w:val="0"/>
                <w:color w:val="auto"/>
                <w:kern w:val="0"/>
                <w:szCs w:val="20"/>
                <w:lang w:val="en-US" w:eastAsia="zh-CN"/>
              </w:rPr>
              <w:t>2.56</w:t>
            </w:r>
          </w:p>
        </w:tc>
        <w:tc>
          <w:tcPr>
            <w:tcW w:w="12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387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18"/>
              </w:rPr>
            </w:pPr>
            <w:r>
              <w:rPr>
                <w:rFonts w:hint="eastAsia" w:ascii="宋体" w:hAnsi="宋体" w:eastAsia="宋体" w:cs="宋体"/>
                <w:b w:val="0"/>
                <w:bCs w:val="0"/>
                <w:color w:val="auto"/>
                <w:kern w:val="0"/>
                <w:szCs w:val="18"/>
              </w:rPr>
              <w:t>　</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　</w:t>
            </w:r>
          </w:p>
        </w:tc>
      </w:tr>
      <w:tr>
        <w:tblPrEx>
          <w:tblCellMar>
            <w:top w:w="0" w:type="dxa"/>
            <w:left w:w="108" w:type="dxa"/>
            <w:bottom w:w="0" w:type="dxa"/>
            <w:right w:w="108" w:type="dxa"/>
          </w:tblCellMar>
        </w:tblPrEx>
        <w:trPr>
          <w:trHeight w:val="284" w:hRule="exact"/>
        </w:trPr>
        <w:tc>
          <w:tcPr>
            <w:tcW w:w="40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人员经费合计</w:t>
            </w:r>
          </w:p>
        </w:tc>
        <w:tc>
          <w:tcPr>
            <w:tcW w:w="1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lang w:val="en-US" w:eastAsia="zh-CN"/>
              </w:rPr>
              <w:t>466.91</w:t>
            </w:r>
          </w:p>
        </w:tc>
        <w:tc>
          <w:tcPr>
            <w:tcW w:w="932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auto"/>
                <w:kern w:val="0"/>
                <w:szCs w:val="20"/>
              </w:rPr>
            </w:pPr>
            <w:r>
              <w:rPr>
                <w:rFonts w:hint="eastAsia" w:ascii="宋体" w:hAnsi="宋体" w:eastAsia="宋体" w:cs="宋体"/>
                <w:b w:val="0"/>
                <w:bCs w:val="0"/>
                <w:color w:val="auto"/>
                <w:kern w:val="0"/>
                <w:szCs w:val="20"/>
              </w:rPr>
              <w:t>公用经费合计</w:t>
            </w:r>
          </w:p>
        </w:tc>
        <w:tc>
          <w:tcPr>
            <w:tcW w:w="117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b w:val="0"/>
                <w:bCs w:val="0"/>
                <w:color w:val="auto"/>
                <w:kern w:val="0"/>
                <w:szCs w:val="18"/>
                <w:lang w:val="en-US" w:eastAsia="zh-CN"/>
              </w:rPr>
            </w:pPr>
            <w:r>
              <w:rPr>
                <w:rFonts w:hint="eastAsia" w:ascii="宋体" w:hAnsi="宋体" w:eastAsia="宋体" w:cs="宋体"/>
                <w:b w:val="0"/>
                <w:bCs w:val="0"/>
                <w:color w:val="auto"/>
                <w:kern w:val="0"/>
                <w:szCs w:val="18"/>
              </w:rPr>
              <w:t>　</w:t>
            </w:r>
            <w:r>
              <w:rPr>
                <w:rFonts w:hint="eastAsia" w:ascii="宋体" w:hAnsi="宋体" w:eastAsia="宋体" w:cs="宋体"/>
                <w:b w:val="0"/>
                <w:bCs w:val="0"/>
                <w:color w:val="auto"/>
                <w:kern w:val="0"/>
                <w:szCs w:val="20"/>
                <w:lang w:val="en-US" w:eastAsia="zh-CN"/>
              </w:rPr>
              <w:t>45.86</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ascii="宋体" w:hAnsi="宋体" w:eastAsia="宋体" w:cs="宋体"/>
                <w:b w:val="0"/>
                <w:bCs w:val="0"/>
                <w:color w:val="auto"/>
                <w:kern w:val="0"/>
                <w:szCs w:val="24"/>
              </w:rPr>
            </w:pPr>
            <w:r>
              <w:rPr>
                <w:rFonts w:hint="eastAsia" w:ascii="宋体" w:hAnsi="宋体" w:eastAsia="宋体" w:cs="宋体"/>
                <w:b w:val="0"/>
                <w:bCs w:val="0"/>
                <w:color w:val="auto"/>
                <w:kern w:val="0"/>
                <w:szCs w:val="24"/>
              </w:rPr>
              <w:t>注：本表反映部门本年度一般公共预算财政拨款基本支出明细情况。</w:t>
            </w:r>
          </w:p>
        </w:tc>
      </w:tr>
    </w:tbl>
    <w:p>
      <w:pPr>
        <w:widowControl/>
        <w:jc w:val="center"/>
        <w:rPr>
          <w:rFonts w:hint="eastAsia" w:ascii="Times New Roman" w:hAnsi="Times New Roman" w:eastAsia="方正小标宋_GBK" w:cs="Times New Roman"/>
          <w:b w:val="0"/>
          <w:bCs w:val="0"/>
          <w:color w:val="auto"/>
          <w:kern w:val="0"/>
          <w:sz w:val="36"/>
          <w:szCs w:val="36"/>
        </w:rPr>
      </w:pPr>
    </w:p>
    <w:p>
      <w:pPr>
        <w:widowControl/>
        <w:jc w:val="center"/>
        <w:rPr>
          <w:rFonts w:ascii="Times New Roman" w:hAnsi="Times New Roman" w:eastAsia="方正小标宋_GBK" w:cs="Times New Roman"/>
          <w:b w:val="0"/>
          <w:bCs w:val="0"/>
          <w:color w:val="auto"/>
          <w:kern w:val="0"/>
          <w:sz w:val="36"/>
          <w:szCs w:val="36"/>
        </w:rPr>
      </w:pPr>
      <w:r>
        <w:rPr>
          <w:rFonts w:hint="eastAsia" w:ascii="Times New Roman" w:hAnsi="Times New Roman" w:eastAsia="方正小标宋_GBK" w:cs="Times New Roman"/>
          <w:b w:val="0"/>
          <w:bCs w:val="0"/>
          <w:color w:val="auto"/>
          <w:kern w:val="0"/>
          <w:sz w:val="36"/>
          <w:szCs w:val="36"/>
        </w:rPr>
        <w:t>一般公共预算财政拨款“三公”经费支出决算表</w:t>
      </w:r>
    </w:p>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xml:space="preserve">                                                                                         </w:t>
      </w:r>
      <w:r>
        <w:rPr>
          <w:rFonts w:hint="eastAsia" w:ascii="Times New Roman" w:hAnsi="Times New Roman" w:eastAsia="仿宋_GB2312" w:cs="Times New Roman"/>
          <w:b w:val="0"/>
          <w:bCs w:val="0"/>
          <w:color w:val="auto"/>
          <w:kern w:val="0"/>
          <w:szCs w:val="21"/>
          <w:lang w:val="en-US" w:eastAsia="zh-CN"/>
        </w:rPr>
        <w:t xml:space="preserve">                                          </w:t>
      </w:r>
      <w:r>
        <w:rPr>
          <w:rFonts w:ascii="Times New Roman" w:hAnsi="Times New Roman" w:eastAsia="仿宋_GB2312" w:cs="Times New Roman"/>
          <w:b w:val="0"/>
          <w:bCs w:val="0"/>
          <w:color w:val="auto"/>
          <w:kern w:val="0"/>
          <w:szCs w:val="21"/>
        </w:rPr>
        <w:t xml:space="preserve"> </w:t>
      </w:r>
      <w:r>
        <w:rPr>
          <w:rFonts w:hint="eastAsia" w:ascii="Times New Roman" w:hAnsi="Times New Roman" w:eastAsia="仿宋_GB2312" w:cs="Times New Roman"/>
          <w:b w:val="0"/>
          <w:bCs w:val="0"/>
          <w:color w:val="auto"/>
          <w:kern w:val="0"/>
          <w:szCs w:val="21"/>
        </w:rPr>
        <w:t xml:space="preserve"> </w:t>
      </w:r>
      <w:r>
        <w:rPr>
          <w:rFonts w:ascii="Times New Roman" w:hAnsi="Times New Roman" w:eastAsia="仿宋_GB2312" w:cs="Times New Roman"/>
          <w:b w:val="0"/>
          <w:bCs w:val="0"/>
          <w:color w:val="auto"/>
          <w:kern w:val="0"/>
          <w:szCs w:val="21"/>
        </w:rPr>
        <w:t>公开0</w:t>
      </w:r>
      <w:r>
        <w:rPr>
          <w:rFonts w:hint="eastAsia" w:ascii="Times New Roman" w:hAnsi="Times New Roman" w:eastAsia="仿宋_GB2312" w:cs="Times New Roman"/>
          <w:b w:val="0"/>
          <w:bCs w:val="0"/>
          <w:color w:val="auto"/>
          <w:kern w:val="0"/>
          <w:szCs w:val="21"/>
        </w:rPr>
        <w:t>7</w:t>
      </w:r>
      <w:r>
        <w:rPr>
          <w:rFonts w:ascii="Times New Roman" w:hAnsi="Times New Roman" w:eastAsia="仿宋_GB2312" w:cs="Times New Roman"/>
          <w:b w:val="0"/>
          <w:bCs w:val="0"/>
          <w:color w:val="auto"/>
          <w:kern w:val="0"/>
          <w:szCs w:val="21"/>
        </w:rPr>
        <w:t>表</w:t>
      </w:r>
    </w:p>
    <w:p>
      <w:pPr>
        <w:widowControl/>
        <w:ind w:right="420"/>
        <w:jc w:val="right"/>
        <w:rPr>
          <w:rFonts w:ascii="Times New Roman" w:hAnsi="Times New Roman" w:eastAsia="仿宋_GB2312" w:cs="Times New Roman"/>
          <w:b w:val="0"/>
          <w:bCs w:val="0"/>
          <w:color w:val="auto"/>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r>
        <w:rPr>
          <w:rFonts w:hint="eastAsia" w:ascii="Times New Roman" w:hAnsi="Times New Roman" w:eastAsia="仿宋_GB2312" w:cs="Times New Roman"/>
          <w:color w:val="000000"/>
          <w:kern w:val="0"/>
          <w:szCs w:val="21"/>
          <w:lang w:val="en-US" w:eastAsia="zh-CN"/>
        </w:rPr>
        <w:t xml:space="preserve">  </w:t>
      </w:r>
      <w:r>
        <w:rPr>
          <w:rFonts w:hint="eastAsia" w:ascii="宋体" w:hAnsi="宋体" w:eastAsia="宋体" w:cs="宋体"/>
          <w:b w:val="0"/>
          <w:bCs w:val="0"/>
          <w:color w:val="auto"/>
          <w:kern w:val="0"/>
          <w:sz w:val="20"/>
          <w:szCs w:val="20"/>
          <w:lang w:val="en-US" w:eastAsia="zh-CN"/>
        </w:rPr>
        <w:t xml:space="preserve">                                                                                         </w:t>
      </w:r>
      <w:r>
        <w:rPr>
          <w:rFonts w:ascii="Times New Roman" w:hAnsi="Times New Roman" w:eastAsia="仿宋_GB2312" w:cs="Times New Roman"/>
          <w:b w:val="0"/>
          <w:bCs w:val="0"/>
          <w:color w:val="auto"/>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公务</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val="0"/>
                <w:bCs w:val="0"/>
                <w:color w:val="auto"/>
                <w:kern w:val="0"/>
                <w:szCs w:val="21"/>
                <w:lang w:eastAsia="zh-CN"/>
              </w:rPr>
            </w:pPr>
            <w:r>
              <w:rPr>
                <w:rFonts w:ascii="Times New Roman" w:hAnsi="Times New Roman" w:eastAsia="仿宋_GB2312" w:cs="Times New Roman"/>
                <w:b w:val="0"/>
                <w:bCs w:val="0"/>
                <w:color w:val="auto"/>
                <w:kern w:val="0"/>
                <w:szCs w:val="21"/>
              </w:rPr>
              <w:t>公务用车</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val="0"/>
                <w:bCs w:val="0"/>
                <w:color w:val="auto"/>
                <w:kern w:val="0"/>
                <w:szCs w:val="21"/>
                <w:lang w:eastAsia="zh-CN"/>
              </w:rPr>
            </w:pPr>
            <w:r>
              <w:rPr>
                <w:rFonts w:ascii="Times New Roman" w:hAnsi="Times New Roman" w:eastAsia="仿宋_GB2312" w:cs="Times New Roman"/>
                <w:b w:val="0"/>
                <w:bCs w:val="0"/>
                <w:color w:val="auto"/>
                <w:kern w:val="0"/>
                <w:szCs w:val="21"/>
              </w:rPr>
              <w:t>公务用车</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b w:val="0"/>
                <w:bCs w:val="0"/>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val="0"/>
                <w:bCs w:val="0"/>
                <w:color w:val="auto"/>
                <w:kern w:val="0"/>
                <w:szCs w:val="21"/>
                <w:lang w:eastAsia="zh-CN"/>
              </w:rPr>
            </w:pPr>
            <w:r>
              <w:rPr>
                <w:rFonts w:ascii="Times New Roman" w:hAnsi="Times New Roman" w:eastAsia="仿宋_GB2312" w:cs="Times New Roman"/>
                <w:b w:val="0"/>
                <w:bCs w:val="0"/>
                <w:color w:val="auto"/>
                <w:kern w:val="0"/>
                <w:szCs w:val="21"/>
              </w:rPr>
              <w:t>公务用车</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b w:val="0"/>
                <w:bCs w:val="0"/>
                <w:color w:val="auto"/>
                <w:kern w:val="0"/>
                <w:szCs w:val="21"/>
                <w:lang w:eastAsia="zh-CN"/>
              </w:rPr>
            </w:pPr>
            <w:r>
              <w:rPr>
                <w:rFonts w:ascii="Times New Roman" w:hAnsi="Times New Roman" w:eastAsia="仿宋_GB2312" w:cs="Times New Roman"/>
                <w:b w:val="0"/>
                <w:bCs w:val="0"/>
                <w:color w:val="auto"/>
                <w:kern w:val="0"/>
                <w:szCs w:val="21"/>
              </w:rPr>
              <w:t>公务用车</w:t>
            </w:r>
          </w:p>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b w:val="0"/>
                <w:bCs w:val="0"/>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b w:val="0"/>
                <w:bCs w:val="0"/>
                <w:color w:val="auto"/>
                <w:kern w:val="0"/>
                <w:szCs w:val="21"/>
                <w:lang w:val="en-US"/>
              </w:rPr>
            </w:pPr>
            <w:r>
              <w:rPr>
                <w:rFonts w:hint="eastAsia" w:ascii="Times New Roman" w:hAnsi="Times New Roman" w:eastAsia="仿宋_GB2312" w:cs="Times New Roman"/>
                <w:b w:val="0"/>
                <w:bCs w:val="0"/>
                <w:color w:val="auto"/>
                <w:kern w:val="0"/>
                <w:szCs w:val="21"/>
                <w:lang w:val="en-US" w:eastAsia="zh-CN"/>
              </w:rPr>
              <w:t>3.00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b w:val="0"/>
                <w:bCs w:val="0"/>
                <w:color w:val="auto"/>
                <w:kern w:val="0"/>
                <w:szCs w:val="21"/>
                <w:lang w:val="en-US" w:eastAsia="zh-CN"/>
              </w:rPr>
            </w:pPr>
            <w:r>
              <w:rPr>
                <w:rFonts w:hint="eastAsia" w:ascii="Times New Roman" w:hAnsi="Times New Roman" w:eastAsia="仿宋_GB2312" w:cs="Times New Roman"/>
                <w:b w:val="0"/>
                <w:bCs w:val="0"/>
                <w:color w:val="auto"/>
                <w:kern w:val="0"/>
                <w:szCs w:val="21"/>
              </w:rPr>
              <w:t>3</w:t>
            </w:r>
            <w:r>
              <w:rPr>
                <w:rFonts w:hint="eastAsia" w:ascii="Times New Roman" w:hAnsi="Times New Roman" w:eastAsia="仿宋_GB2312" w:cs="Times New Roman"/>
                <w:b w:val="0"/>
                <w:bCs w:val="0"/>
                <w:color w:val="auto"/>
                <w:kern w:val="0"/>
                <w:szCs w:val="21"/>
                <w:lang w:val="en-US" w:eastAsia="zh-CN"/>
              </w:rPr>
              <w:t>.00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b w:val="0"/>
                <w:bCs w:val="0"/>
                <w:color w:val="auto"/>
                <w:kern w:val="0"/>
                <w:szCs w:val="21"/>
                <w:lang w:val="en-US"/>
              </w:rPr>
            </w:pPr>
            <w:r>
              <w:rPr>
                <w:rFonts w:hint="eastAsia" w:ascii="Times New Roman" w:hAnsi="Times New Roman" w:eastAsia="仿宋_GB2312" w:cs="Times New Roman"/>
                <w:b w:val="0"/>
                <w:bCs w:val="0"/>
                <w:color w:val="auto"/>
                <w:kern w:val="0"/>
                <w:szCs w:val="21"/>
                <w:lang w:val="en-US" w:eastAsia="zh-CN"/>
              </w:rPr>
              <w:t>0.76</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b w:val="0"/>
                <w:bCs w:val="0"/>
                <w:color w:val="auto"/>
                <w:kern w:val="0"/>
                <w:szCs w:val="21"/>
              </w:rPr>
            </w:pPr>
            <w:r>
              <w:rPr>
                <w:rFonts w:ascii="Times New Roman" w:hAnsi="Times New Roman" w:eastAsia="仿宋_GB2312" w:cs="Times New Roman"/>
                <w:b w:val="0"/>
                <w:bCs w:val="0"/>
                <w:color w:val="auto"/>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b w:val="0"/>
                <w:bCs w:val="0"/>
                <w:color w:val="auto"/>
                <w:kern w:val="0"/>
                <w:szCs w:val="21"/>
                <w:lang w:val="en-US"/>
              </w:rPr>
            </w:pPr>
            <w:r>
              <w:rPr>
                <w:rFonts w:hint="eastAsia" w:ascii="Times New Roman" w:hAnsi="Times New Roman" w:eastAsia="仿宋_GB2312" w:cs="Times New Roman"/>
                <w:b w:val="0"/>
                <w:bCs w:val="0"/>
                <w:color w:val="auto"/>
                <w:kern w:val="0"/>
                <w:szCs w:val="21"/>
                <w:lang w:val="en-US" w:eastAsia="zh-CN"/>
              </w:rPr>
              <w:t>0.76</w:t>
            </w:r>
          </w:p>
        </w:tc>
      </w:tr>
    </w:tbl>
    <w:p>
      <w:pPr>
        <w:widowControl/>
        <w:jc w:val="left"/>
        <w:rPr>
          <w:rFonts w:ascii="宋体" w:eastAsia="宋体" w:cs="宋体"/>
          <w:b w:val="0"/>
          <w:bCs w:val="0"/>
          <w:kern w:val="0"/>
          <w:sz w:val="24"/>
          <w:szCs w:val="24"/>
        </w:rPr>
      </w:pPr>
      <w:r>
        <w:rPr>
          <w:rFonts w:hint="eastAsia" w:ascii="宋体" w:eastAsia="宋体" w:cs="宋体"/>
          <w:b w:val="0"/>
          <w:bCs w:val="0"/>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b w:val="0"/>
          <w:bCs w:val="0"/>
          <w:color w:val="auto"/>
          <w:kern w:val="0"/>
          <w:sz w:val="24"/>
          <w:szCs w:val="24"/>
        </w:rPr>
        <w:br w:type="page"/>
      </w:r>
    </w:p>
    <w:p>
      <w:pPr>
        <w:autoSpaceDE w:val="0"/>
        <w:autoSpaceDN w:val="0"/>
        <w:adjustRightInd w:val="0"/>
        <w:ind w:left="315" w:leftChars="150"/>
        <w:jc w:val="left"/>
        <w:rPr>
          <w:rFonts w:ascii="宋体" w:eastAsia="宋体" w:cs="宋体"/>
          <w:b w:val="0"/>
          <w:bCs w:val="0"/>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jc w:val="left"/>
        <w:rPr>
          <w:rFonts w:ascii="Times New Roman" w:hAnsi="Times New Roman" w:eastAsia="仿宋_GB2312" w:cs="Times New Roman"/>
          <w:b w:val="0"/>
          <w:bCs w:val="0"/>
          <w:color w:val="000000"/>
          <w:kern w:val="0"/>
          <w:szCs w:val="21"/>
        </w:rPr>
      </w:pPr>
      <w:r>
        <w:rPr>
          <w:rFonts w:hint="eastAsia" w:ascii="Times New Roman" w:hAnsi="Times New Roman" w:eastAsia="仿宋_GB2312" w:cs="Times New Roman"/>
          <w:b w:val="0"/>
          <w:bCs w:val="0"/>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b w:val="0"/>
          <w:bCs w:val="0"/>
          <w:color w:val="000000"/>
          <w:kern w:val="0"/>
          <w:szCs w:val="21"/>
        </w:rPr>
        <w:t xml:space="preserve">                                                                                                                 </w:t>
      </w:r>
      <w:r>
        <w:rPr>
          <w:rFonts w:hint="eastAsia" w:ascii="Times New Roman" w:hAnsi="Times New Roman" w:eastAsia="仿宋_GB2312" w:cs="Times New Roman"/>
          <w:b w:val="0"/>
          <w:bCs w:val="0"/>
          <w:color w:val="000000"/>
          <w:kern w:val="0"/>
          <w:szCs w:val="21"/>
          <w:lang w:val="en-US" w:eastAsia="zh-CN"/>
        </w:rPr>
        <w:t xml:space="preserve">           </w:t>
      </w:r>
      <w:r>
        <w:rPr>
          <w:rFonts w:ascii="Times New Roman" w:hAnsi="Times New Roman" w:eastAsia="仿宋_GB2312" w:cs="Times New Roman"/>
          <w:b w:val="0"/>
          <w:bCs w:val="0"/>
          <w:color w:val="000000"/>
          <w:kern w:val="0"/>
          <w:szCs w:val="21"/>
        </w:rPr>
        <w:t>公开08表</w:t>
      </w:r>
    </w:p>
    <w:p>
      <w:pPr>
        <w:widowControl/>
        <w:ind w:firstLine="420" w:firstLineChars="200"/>
        <w:jc w:val="both"/>
        <w:rPr>
          <w:rFonts w:ascii="Times New Roman" w:hAnsi="Times New Roman" w:eastAsia="仿宋_GB2312" w:cs="Times New Roman"/>
          <w:b w:val="0"/>
          <w:bCs w:val="0"/>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湖南省机关事业单位养老保险管理服务中心</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b w:val="0"/>
          <w:bCs w:val="0"/>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1608"/>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xml:space="preserve">项 </w:t>
            </w:r>
            <w:r>
              <w:rPr>
                <w:rFonts w:ascii="Times New Roman" w:hAnsi="Times New Roman" w:eastAsia="仿宋_GB2312" w:cs="Times New Roman"/>
                <w:b w:val="0"/>
                <w:bCs w:val="0"/>
                <w:color w:val="000000"/>
                <w:kern w:val="0"/>
                <w:szCs w:val="21"/>
              </w:rPr>
              <w:t xml:space="preserve">   </w:t>
            </w:r>
            <w:r>
              <w:rPr>
                <w:rFonts w:ascii="Times New Roman" w:hAnsi="Times New Roman" w:eastAsia="仿宋_GB2312" w:cs="Times New Roman"/>
                <w:b w:val="0"/>
                <w:bCs w:val="0"/>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功能分类科目编码</w:t>
            </w:r>
          </w:p>
        </w:tc>
        <w:tc>
          <w:tcPr>
            <w:tcW w:w="1608"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科目名称</w:t>
            </w: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项目支出</w:t>
            </w: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vMerge w:val="continue"/>
            <w:vAlign w:val="center"/>
          </w:tcPr>
          <w:p>
            <w:pPr>
              <w:widowControl/>
              <w:jc w:val="left"/>
              <w:rPr>
                <w:rFonts w:ascii="Times New Roman" w:hAnsi="Times New Roman" w:eastAsia="仿宋_GB2312" w:cs="Times New Roman"/>
                <w:b w:val="0"/>
                <w:bCs w:val="0"/>
                <w:kern w:val="0"/>
                <w:szCs w:val="21"/>
              </w:rPr>
            </w:pPr>
          </w:p>
        </w:tc>
        <w:tc>
          <w:tcPr>
            <w:tcW w:w="1608"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vMerge w:val="continue"/>
            <w:vAlign w:val="center"/>
          </w:tcPr>
          <w:p>
            <w:pPr>
              <w:widowControl/>
              <w:jc w:val="left"/>
              <w:rPr>
                <w:rFonts w:ascii="Times New Roman" w:hAnsi="Times New Roman" w:eastAsia="仿宋_GB2312" w:cs="Times New Roman"/>
                <w:b w:val="0"/>
                <w:bCs w:val="0"/>
                <w:kern w:val="0"/>
                <w:szCs w:val="21"/>
              </w:rPr>
            </w:pPr>
          </w:p>
        </w:tc>
        <w:tc>
          <w:tcPr>
            <w:tcW w:w="1608"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c>
          <w:tcPr>
            <w:tcW w:w="2000" w:type="dxa"/>
            <w:vMerge w:val="continue"/>
            <w:vAlign w:val="center"/>
          </w:tcPr>
          <w:p>
            <w:pPr>
              <w:widowControl/>
              <w:jc w:val="left"/>
              <w:rPr>
                <w:rFonts w:ascii="Times New Roman" w:hAnsi="Times New Roman" w:eastAsia="仿宋_GB2312" w:cs="Times New Roman"/>
                <w:b w:val="0"/>
                <w:bCs w:val="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1</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2</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3</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4</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5</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32" w:type="dxa"/>
            <w:shd w:val="clear" w:color="auto" w:fill="auto"/>
            <w:vAlign w:val="center"/>
          </w:tcPr>
          <w:p>
            <w:pPr>
              <w:widowControl/>
              <w:jc w:val="center"/>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1608"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c>
          <w:tcPr>
            <w:tcW w:w="2000" w:type="dxa"/>
            <w:shd w:val="clear" w:color="auto" w:fill="auto"/>
            <w:vAlign w:val="center"/>
          </w:tcPr>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　</w:t>
            </w:r>
          </w:p>
        </w:tc>
      </w:tr>
    </w:tbl>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注：本表反映部门本年度政府性基金预算财政拨款收入、支出及结转和结余情况</w:t>
      </w:r>
    </w:p>
    <w:p>
      <w:pPr>
        <w:widowControl/>
        <w:jc w:val="left"/>
        <w:rPr>
          <w:rFonts w:ascii="Times New Roman" w:hAnsi="Times New Roman" w:eastAsia="仿宋_GB2312" w:cs="Times New Roman"/>
          <w:b w:val="0"/>
          <w:bCs w:val="0"/>
          <w:kern w:val="0"/>
          <w:szCs w:val="21"/>
        </w:rPr>
      </w:pPr>
      <w:r>
        <w:rPr>
          <w:rFonts w:ascii="Times New Roman" w:hAnsi="Times New Roman" w:eastAsia="仿宋_GB2312" w:cs="Times New Roman"/>
          <w:b w:val="0"/>
          <w:bCs w:val="0"/>
          <w:kern w:val="0"/>
          <w:szCs w:val="21"/>
        </w:rPr>
        <w:t>(若本单位无政府性基金收支</w:t>
      </w:r>
      <w:r>
        <w:rPr>
          <w:rFonts w:hint="eastAsia" w:ascii="Times New Roman" w:hAnsi="Times New Roman" w:eastAsia="仿宋_GB2312" w:cs="Times New Roman"/>
          <w:b w:val="0"/>
          <w:bCs w:val="0"/>
          <w:kern w:val="0"/>
          <w:szCs w:val="21"/>
        </w:rPr>
        <w:t>,请说明：XX单位没有政府性基金收入，也没有使用政府性基金安排的支出，故本表无数据</w:t>
      </w:r>
      <w:r>
        <w:rPr>
          <w:rFonts w:ascii="Times New Roman" w:hAnsi="Times New Roman" w:eastAsia="仿宋_GB2312" w:cs="Times New Roman"/>
          <w:b w:val="0"/>
          <w:bCs w:val="0"/>
          <w:kern w:val="0"/>
          <w:szCs w:val="21"/>
        </w:rPr>
        <w:t>)。</w:t>
      </w:r>
    </w:p>
    <w:p>
      <w:pPr>
        <w:widowControl/>
        <w:jc w:val="left"/>
        <w:rPr>
          <w:rFonts w:ascii="黑体" w:hAnsi="黑体" w:eastAsia="黑体"/>
          <w:b w:val="0"/>
          <w:bCs w:val="0"/>
          <w:szCs w:val="21"/>
        </w:rPr>
      </w:pPr>
      <w:r>
        <w:rPr>
          <w:rFonts w:ascii="黑体" w:hAnsi="黑体" w:eastAsia="黑体"/>
          <w:b w:val="0"/>
          <w:bCs w:val="0"/>
          <w:szCs w:val="21"/>
        </w:rPr>
        <w:br w:type="page"/>
      </w:r>
    </w:p>
    <w:tbl>
      <w:tblPr>
        <w:tblStyle w:val="6"/>
        <w:tblW w:w="14190" w:type="dxa"/>
        <w:tblInd w:w="93" w:type="dxa"/>
        <w:tblLayout w:type="fixed"/>
        <w:tblCellMar>
          <w:top w:w="0" w:type="dxa"/>
          <w:left w:w="108" w:type="dxa"/>
          <w:bottom w:w="0" w:type="dxa"/>
          <w:right w:w="108" w:type="dxa"/>
        </w:tblCellMar>
      </w:tblPr>
      <w:tblGrid>
        <w:gridCol w:w="759"/>
        <w:gridCol w:w="861"/>
        <w:gridCol w:w="1089"/>
        <w:gridCol w:w="2637"/>
        <w:gridCol w:w="240"/>
        <w:gridCol w:w="320"/>
        <w:gridCol w:w="240"/>
        <w:gridCol w:w="1240"/>
        <w:gridCol w:w="734"/>
        <w:gridCol w:w="560"/>
        <w:gridCol w:w="1683"/>
        <w:gridCol w:w="3827"/>
      </w:tblGrid>
      <w:tr>
        <w:tblPrEx>
          <w:tblCellMar>
            <w:top w:w="0" w:type="dxa"/>
            <w:left w:w="108" w:type="dxa"/>
            <w:bottom w:w="0" w:type="dxa"/>
            <w:right w:w="108" w:type="dxa"/>
          </w:tblCellMar>
        </w:tblPrEx>
        <w:trPr>
          <w:trHeight w:val="720" w:hRule="atLeast"/>
        </w:trPr>
        <w:tc>
          <w:tcPr>
            <w:tcW w:w="14190" w:type="dxa"/>
            <w:gridSpan w:val="12"/>
            <w:tcBorders>
              <w:top w:val="nil"/>
              <w:left w:val="nil"/>
              <w:bottom w:val="nil"/>
              <w:right w:val="nil"/>
            </w:tcBorders>
            <w:shd w:val="clear" w:color="000000" w:fill="FFFFFF"/>
            <w:vAlign w:val="center"/>
          </w:tcPr>
          <w:p>
            <w:pPr>
              <w:widowControl/>
              <w:jc w:val="center"/>
              <w:rPr>
                <w:rFonts w:ascii="华文中宋" w:hAnsi="华文中宋" w:eastAsia="华文中宋" w:cs="宋体"/>
                <w:b w:val="0"/>
                <w:bCs w:val="0"/>
                <w:kern w:val="0"/>
                <w:sz w:val="32"/>
                <w:szCs w:val="32"/>
              </w:rPr>
            </w:pPr>
            <w:r>
              <w:rPr>
                <w:rFonts w:hint="eastAsia" w:ascii="华文中宋" w:hAnsi="华文中宋" w:eastAsia="华文中宋" w:cs="宋体"/>
                <w:b w:val="0"/>
                <w:bCs w:val="0"/>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759" w:type="dxa"/>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861" w:type="dxa"/>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4286" w:type="dxa"/>
            <w:gridSpan w:val="4"/>
            <w:tcBorders>
              <w:top w:val="nil"/>
              <w:left w:val="nil"/>
              <w:bottom w:val="nil"/>
              <w:right w:val="nil"/>
            </w:tcBorders>
            <w:shd w:val="clear" w:color="000000" w:fill="FFFFFF"/>
            <w:vAlign w:val="center"/>
          </w:tcPr>
          <w:p>
            <w:pPr>
              <w:widowControl/>
              <w:jc w:val="center"/>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240" w:type="dxa"/>
            <w:tcBorders>
              <w:top w:val="nil"/>
              <w:left w:val="nil"/>
              <w:bottom w:val="nil"/>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2534" w:type="dxa"/>
            <w:gridSpan w:val="3"/>
            <w:tcBorders>
              <w:top w:val="nil"/>
              <w:left w:val="nil"/>
              <w:bottom w:val="nil"/>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rPr>
              <w:t>公开09表</w:t>
            </w:r>
          </w:p>
        </w:tc>
      </w:tr>
      <w:tr>
        <w:tblPrEx>
          <w:tblCellMar>
            <w:top w:w="0" w:type="dxa"/>
            <w:left w:w="108" w:type="dxa"/>
            <w:bottom w:w="0" w:type="dxa"/>
            <w:right w:w="108" w:type="dxa"/>
          </w:tblCellMar>
        </w:tblPrEx>
        <w:trPr>
          <w:trHeight w:val="412" w:hRule="atLeast"/>
        </w:trPr>
        <w:tc>
          <w:tcPr>
            <w:tcW w:w="759" w:type="dxa"/>
            <w:tcBorders>
              <w:top w:val="nil"/>
              <w:left w:val="nil"/>
              <w:bottom w:val="nil"/>
              <w:right w:val="nil"/>
            </w:tcBorders>
            <w:shd w:val="clear" w:color="000000" w:fill="FFFFFF"/>
            <w:vAlign w:val="center"/>
          </w:tcPr>
          <w:p>
            <w:pPr>
              <w:widowControl/>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p>
        </w:tc>
        <w:tc>
          <w:tcPr>
            <w:tcW w:w="4587" w:type="dxa"/>
            <w:gridSpan w:val="3"/>
            <w:tcBorders>
              <w:top w:val="nil"/>
              <w:left w:val="nil"/>
              <w:bottom w:val="nil"/>
              <w:right w:val="nil"/>
            </w:tcBorders>
            <w:shd w:val="clear" w:color="000000" w:fill="FFFFFF"/>
            <w:vAlign w:val="center"/>
          </w:tcPr>
          <w:p>
            <w:pPr>
              <w:widowControl/>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eastAsia="zh-CN"/>
              </w:rPr>
              <w:t>湖南省机关事业单位养老保险管理服务中心</w:t>
            </w:r>
            <w:r>
              <w:rPr>
                <w:rFonts w:hint="eastAsia" w:ascii="Times New Roman" w:hAnsi="Times New Roman" w:eastAsia="仿宋_GB2312" w:cs="Times New Roman"/>
                <w:color w:val="000000"/>
                <w:kern w:val="0"/>
                <w:szCs w:val="21"/>
              </w:rPr>
              <w:t>　</w:t>
            </w:r>
          </w:p>
        </w:tc>
        <w:tc>
          <w:tcPr>
            <w:tcW w:w="24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2534" w:type="dxa"/>
            <w:gridSpan w:val="4"/>
            <w:tcBorders>
              <w:top w:val="nil"/>
              <w:left w:val="nil"/>
              <w:bottom w:val="single" w:color="auto" w:sz="8" w:space="0"/>
              <w:right w:val="nil"/>
            </w:tcBorders>
            <w:shd w:val="clear" w:color="000000" w:fill="FFFFFF"/>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6070" w:type="dxa"/>
            <w:gridSpan w:val="3"/>
            <w:tcBorders>
              <w:top w:val="nil"/>
              <w:left w:val="nil"/>
              <w:bottom w:val="nil"/>
              <w:right w:val="nil"/>
            </w:tcBorders>
            <w:shd w:val="clear" w:color="000000" w:fill="FFFFFF"/>
            <w:vAlign w:val="center"/>
          </w:tcPr>
          <w:p>
            <w:pPr>
              <w:widowControl/>
              <w:jc w:val="right"/>
              <w:rPr>
                <w:rFonts w:ascii="宋体" w:hAnsi="宋体" w:eastAsia="宋体" w:cs="宋体"/>
                <w:b w:val="0"/>
                <w:bCs w:val="0"/>
                <w:color w:val="000000"/>
                <w:kern w:val="0"/>
                <w:sz w:val="20"/>
                <w:szCs w:val="20"/>
              </w:rPr>
            </w:pPr>
            <w:r>
              <w:rPr>
                <w:rFonts w:hint="eastAsia" w:ascii="宋体" w:hAnsi="宋体" w:eastAsia="宋体" w:cs="宋体"/>
                <w:b w:val="0"/>
                <w:bCs w:val="0"/>
                <w:color w:val="000000"/>
                <w:kern w:val="0"/>
                <w:sz w:val="20"/>
                <w:szCs w:val="20"/>
                <w:lang w:val="en-US" w:eastAsia="zh-CN"/>
              </w:rPr>
              <w:t xml:space="preserve"> </w:t>
            </w:r>
            <w:r>
              <w:rPr>
                <w:rFonts w:hint="eastAsia" w:ascii="宋体" w:hAnsi="宋体" w:eastAsia="宋体" w:cs="宋体"/>
                <w:b w:val="0"/>
                <w:bCs w:val="0"/>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906" w:type="dxa"/>
            <w:gridSpan w:val="6"/>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项 </w:t>
            </w:r>
            <w:r>
              <w:rPr>
                <w:rFonts w:hint="eastAsia" w:ascii="宋体" w:hAnsi="宋体" w:eastAsia="宋体" w:cs="宋体"/>
                <w:b w:val="0"/>
                <w:bCs w:val="0"/>
                <w:color w:val="000000"/>
                <w:kern w:val="0"/>
                <w:sz w:val="22"/>
              </w:rPr>
              <w:t xml:space="preserve">   </w:t>
            </w:r>
            <w:r>
              <w:rPr>
                <w:rFonts w:hint="eastAsia" w:ascii="宋体" w:hAnsi="宋体" w:eastAsia="宋体" w:cs="宋体"/>
                <w:b w:val="0"/>
                <w:bCs w:val="0"/>
                <w:kern w:val="0"/>
                <w:sz w:val="24"/>
                <w:szCs w:val="24"/>
              </w:rPr>
              <w:t>目</w:t>
            </w:r>
          </w:p>
        </w:tc>
        <w:tc>
          <w:tcPr>
            <w:tcW w:w="8284" w:type="dxa"/>
            <w:gridSpan w:val="6"/>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功能分类科目编码</w:t>
            </w:r>
          </w:p>
        </w:tc>
        <w:tc>
          <w:tcPr>
            <w:tcW w:w="3197"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科目名称</w:t>
            </w:r>
          </w:p>
        </w:tc>
        <w:tc>
          <w:tcPr>
            <w:tcW w:w="148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2977" w:type="dxa"/>
            <w:gridSpan w:val="3"/>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319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4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9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319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14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2977"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val="0"/>
                <w:bCs w:val="0"/>
                <w:kern w:val="0"/>
                <w:sz w:val="24"/>
                <w:szCs w:val="24"/>
              </w:rPr>
            </w:pPr>
          </w:p>
        </w:tc>
      </w:tr>
      <w:tr>
        <w:tblPrEx>
          <w:tblCellMar>
            <w:top w:w="0" w:type="dxa"/>
            <w:left w:w="108" w:type="dxa"/>
            <w:bottom w:w="0" w:type="dxa"/>
            <w:right w:w="108" w:type="dxa"/>
          </w:tblCellMar>
        </w:tblPrEx>
        <w:trPr>
          <w:trHeight w:val="402" w:hRule="atLeast"/>
        </w:trPr>
        <w:tc>
          <w:tcPr>
            <w:tcW w:w="5906" w:type="dxa"/>
            <w:gridSpan w:val="6"/>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栏次</w:t>
            </w:r>
          </w:p>
        </w:tc>
        <w:tc>
          <w:tcPr>
            <w:tcW w:w="14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1</w:t>
            </w:r>
          </w:p>
        </w:tc>
        <w:tc>
          <w:tcPr>
            <w:tcW w:w="297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3</w:t>
            </w:r>
          </w:p>
        </w:tc>
      </w:tr>
      <w:tr>
        <w:tblPrEx>
          <w:tblCellMar>
            <w:top w:w="0" w:type="dxa"/>
            <w:left w:w="108" w:type="dxa"/>
            <w:bottom w:w="0" w:type="dxa"/>
            <w:right w:w="108" w:type="dxa"/>
          </w:tblCellMar>
        </w:tblPrEx>
        <w:trPr>
          <w:trHeight w:val="402" w:hRule="atLeast"/>
        </w:trPr>
        <w:tc>
          <w:tcPr>
            <w:tcW w:w="5906" w:type="dxa"/>
            <w:gridSpan w:val="6"/>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合计</w:t>
            </w:r>
          </w:p>
        </w:tc>
        <w:tc>
          <w:tcPr>
            <w:tcW w:w="14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28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28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0"/>
                <w:szCs w:val="20"/>
              </w:rPr>
            </w:pPr>
            <w:r>
              <w:rPr>
                <w:rFonts w:hint="eastAsia" w:ascii="宋体" w:hAnsi="宋体" w:eastAsia="宋体" w:cs="宋体"/>
                <w:b w:val="0"/>
                <w:bCs w:val="0"/>
                <w:kern w:val="0"/>
                <w:sz w:val="20"/>
                <w:szCs w:val="20"/>
              </w:rPr>
              <w:t>　</w:t>
            </w:r>
          </w:p>
        </w:tc>
        <w:tc>
          <w:tcPr>
            <w:tcW w:w="1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28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286"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4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4286" w:type="dxa"/>
            <w:gridSpan w:val="4"/>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1480"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2977" w:type="dxa"/>
            <w:gridSpan w:val="3"/>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12"/>
            <w:tcBorders>
              <w:top w:val="single" w:color="auto" w:sz="8" w:space="0"/>
              <w:left w:val="nil"/>
              <w:bottom w:val="nil"/>
              <w:right w:val="nil"/>
            </w:tcBorders>
            <w:shd w:val="clear" w:color="auto" w:fill="auto"/>
            <w:vAlign w:val="center"/>
          </w:tcPr>
          <w:p>
            <w:pPr>
              <w:widowControl/>
              <w:jc w:val="left"/>
              <w:rPr>
                <w:rFonts w:ascii="宋体" w:hAnsi="宋体" w:eastAsia="宋体" w:cs="宋体"/>
                <w:b w:val="0"/>
                <w:bCs w:val="0"/>
                <w:kern w:val="0"/>
                <w:sz w:val="24"/>
                <w:szCs w:val="24"/>
              </w:rPr>
            </w:pPr>
            <w:r>
              <w:rPr>
                <w:rFonts w:hint="eastAsia" w:ascii="宋体" w:hAnsi="宋体" w:eastAsia="宋体" w:cs="宋体"/>
                <w:b w:val="0"/>
                <w:bCs w:val="0"/>
                <w:kern w:val="0"/>
                <w:sz w:val="24"/>
                <w:szCs w:val="24"/>
              </w:rPr>
              <w:t>注：本表反映部门本年度国有资本经营预算财政拨款支出情况。</w:t>
            </w:r>
          </w:p>
        </w:tc>
      </w:tr>
    </w:tbl>
    <w:p>
      <w:pPr>
        <w:pStyle w:val="10"/>
        <w:rPr>
          <w:b w:val="0"/>
          <w:bCs w:val="0"/>
          <w:sz w:val="72"/>
          <w:szCs w:val="72"/>
        </w:rPr>
        <w:sectPr>
          <w:pgSz w:w="16838" w:h="11906" w:orient="landscape"/>
          <w:pgMar w:top="720" w:right="720" w:bottom="720" w:left="720" w:header="851" w:footer="992" w:gutter="0"/>
          <w:cols w:space="425" w:num="1"/>
          <w:docGrid w:type="lines" w:linePitch="312" w:charSpace="0"/>
        </w:sectPr>
      </w:pPr>
    </w:p>
    <w:p>
      <w:pPr>
        <w:pStyle w:val="10"/>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rFonts w:hint="eastAsia"/>
          <w:sz w:val="72"/>
          <w:szCs w:val="72"/>
        </w:rPr>
      </w:pPr>
      <w:r>
        <w:rPr>
          <w:rFonts w:hint="eastAsia"/>
          <w:sz w:val="72"/>
          <w:szCs w:val="72"/>
        </w:rPr>
        <w:t>第三部分</w:t>
      </w:r>
    </w:p>
    <w:p>
      <w:pPr>
        <w:pStyle w:val="10"/>
        <w:jc w:val="center"/>
        <w:rPr>
          <w:rFonts w:hint="eastAsia"/>
          <w:sz w:val="72"/>
          <w:szCs w:val="72"/>
        </w:rPr>
      </w:pPr>
    </w:p>
    <w:p>
      <w:pPr>
        <w:pStyle w:val="10"/>
        <w:jc w:val="center"/>
        <w:rPr>
          <w:rFonts w:hint="eastAsia"/>
          <w:sz w:val="72"/>
          <w:szCs w:val="72"/>
        </w:rPr>
      </w:pPr>
      <w:r>
        <w:rPr>
          <w:rFonts w:hint="eastAsia"/>
          <w:sz w:val="72"/>
          <w:szCs w:val="72"/>
        </w:rPr>
        <w:t>202</w:t>
      </w:r>
      <w:r>
        <w:rPr>
          <w:rFonts w:hint="eastAsia"/>
          <w:sz w:val="72"/>
          <w:szCs w:val="72"/>
          <w:lang w:val="en-US" w:eastAsia="zh-CN"/>
        </w:rPr>
        <w:t>1</w:t>
      </w:r>
      <w:r>
        <w:rPr>
          <w:rFonts w:hint="eastAsia"/>
          <w:sz w:val="72"/>
          <w:szCs w:val="72"/>
        </w:rPr>
        <w:t>年度部门决算情况说明</w:t>
      </w:r>
    </w:p>
    <w:p>
      <w:pPr>
        <w:widowControl/>
        <w:jc w:val="left"/>
        <w:rPr>
          <w:rFonts w:asciiTheme="minorEastAsia" w:hAnsiTheme="minorEastAsia" w:eastAsiaTheme="minorEastAsia"/>
          <w:b w:val="0"/>
          <w:bCs w:val="0"/>
          <w:sz w:val="32"/>
          <w:szCs w:val="32"/>
        </w:rPr>
      </w:pPr>
      <w:r>
        <w:rPr>
          <w:b w:val="0"/>
          <w:bCs w:val="0"/>
          <w:sz w:val="84"/>
          <w:szCs w:val="84"/>
        </w:rPr>
        <w:br w:type="page"/>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rPr>
        <w:t>一、收入支出决算总体情况说明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rPr>
      </w:pP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年度收、支总计</w:t>
      </w:r>
      <w:r>
        <w:rPr>
          <w:rFonts w:hint="eastAsia" w:ascii="Times New Roman" w:hAnsi="Times New Roman" w:eastAsia="仿宋_GB2312" w:cs="Times New Roman"/>
          <w:b w:val="0"/>
          <w:bCs w:val="0"/>
          <w:sz w:val="32"/>
          <w:szCs w:val="32"/>
          <w:lang w:val="en-US" w:eastAsia="zh-CN"/>
        </w:rPr>
        <w:t>615.23</w:t>
      </w:r>
      <w:r>
        <w:rPr>
          <w:rFonts w:hint="eastAsia" w:ascii="仿宋_GB2312" w:hAnsi="仿宋_GB2312" w:eastAsia="仿宋_GB2312" w:cs="仿宋_GB2312"/>
          <w:b w:val="0"/>
          <w:bCs w:val="0"/>
          <w:sz w:val="32"/>
          <w:szCs w:val="32"/>
        </w:rPr>
        <w:t>万元。与上年相比，减少</w:t>
      </w:r>
      <w:r>
        <w:rPr>
          <w:rFonts w:hint="eastAsia" w:ascii="Times New Roman" w:hAnsi="Times New Roman" w:eastAsia="仿宋_GB2312" w:cs="Times New Roman"/>
          <w:b w:val="0"/>
          <w:bCs w:val="0"/>
          <w:sz w:val="32"/>
          <w:szCs w:val="32"/>
          <w:lang w:val="en-US" w:eastAsia="zh-CN"/>
        </w:rPr>
        <w:t>12.37</w:t>
      </w:r>
      <w:r>
        <w:rPr>
          <w:rFonts w:hint="eastAsia" w:ascii="仿宋_GB2312" w:hAnsi="仿宋_GB2312" w:eastAsia="仿宋_GB2312" w:cs="仿宋_GB2312"/>
          <w:b w:val="0"/>
          <w:bCs w:val="0"/>
          <w:sz w:val="32"/>
          <w:szCs w:val="32"/>
        </w:rPr>
        <w:t>万元，减少</w:t>
      </w:r>
      <w:r>
        <w:rPr>
          <w:rFonts w:hint="eastAsia" w:ascii="Times New Roman" w:hAnsi="Times New Roman" w:eastAsia="仿宋_GB2312" w:cs="Times New Roman"/>
          <w:b w:val="0"/>
          <w:bCs w:val="0"/>
          <w:sz w:val="32"/>
          <w:szCs w:val="32"/>
          <w:lang w:val="en-US" w:eastAsia="zh-CN"/>
        </w:rPr>
        <w:t>1.97</w:t>
      </w:r>
      <w:r>
        <w:rPr>
          <w:rFonts w:hint="eastAsia" w:ascii="仿宋_GB2312" w:hAnsi="仿宋_GB2312" w:eastAsia="仿宋_GB2312" w:cs="仿宋_GB2312"/>
          <w:b w:val="0"/>
          <w:bCs w:val="0"/>
          <w:sz w:val="32"/>
          <w:szCs w:val="32"/>
        </w:rPr>
        <w:t>%，主要是因为</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年度部门年初预算指标较上年度有所缩减。</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二、收入决算情况说明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本年收入合计</w:t>
      </w:r>
      <w:r>
        <w:rPr>
          <w:rFonts w:hint="eastAsia" w:ascii="Times New Roman" w:hAnsi="Times New Roman" w:eastAsia="仿宋_GB2312" w:cs="Times New Roman"/>
          <w:b w:val="0"/>
          <w:bCs w:val="0"/>
          <w:sz w:val="32"/>
          <w:szCs w:val="32"/>
          <w:lang w:val="en-US" w:eastAsia="zh-CN"/>
        </w:rPr>
        <w:t>597.36</w:t>
      </w:r>
      <w:r>
        <w:rPr>
          <w:rFonts w:hint="eastAsia" w:ascii="仿宋_GB2312" w:hAnsi="仿宋_GB2312" w:eastAsia="仿宋_GB2312" w:cs="仿宋_GB2312"/>
          <w:b w:val="0"/>
          <w:bCs w:val="0"/>
          <w:sz w:val="32"/>
          <w:szCs w:val="32"/>
        </w:rPr>
        <w:t>万元，其中：财政拨款收入</w:t>
      </w:r>
      <w:r>
        <w:rPr>
          <w:rFonts w:hint="eastAsia" w:ascii="Times New Roman" w:hAnsi="Times New Roman" w:eastAsia="仿宋_GB2312" w:cs="Times New Roman"/>
          <w:b w:val="0"/>
          <w:bCs w:val="0"/>
          <w:sz w:val="32"/>
          <w:szCs w:val="32"/>
          <w:lang w:val="en-US" w:eastAsia="zh-CN"/>
        </w:rPr>
        <w:t>597.36</w:t>
      </w:r>
      <w:r>
        <w:rPr>
          <w:rFonts w:hint="eastAsia" w:ascii="仿宋_GB2312" w:hAnsi="仿宋_GB2312" w:eastAsia="仿宋_GB2312" w:cs="仿宋_GB2312"/>
          <w:b w:val="0"/>
          <w:bCs w:val="0"/>
          <w:sz w:val="32"/>
          <w:szCs w:val="32"/>
        </w:rPr>
        <w:t>万元，占</w:t>
      </w:r>
      <w:r>
        <w:rPr>
          <w:rFonts w:hint="default" w:ascii="Times New Roman" w:hAnsi="Times New Roman" w:eastAsia="仿宋_GB2312" w:cs="Times New Roman"/>
          <w:b w:val="0"/>
          <w:bCs w:val="0"/>
          <w:sz w:val="32"/>
          <w:szCs w:val="32"/>
          <w:lang w:val="en-US" w:eastAsia="zh-CN"/>
        </w:rPr>
        <w:t>100</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三、支出决算情况说明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本年支出合计</w:t>
      </w:r>
      <w:r>
        <w:rPr>
          <w:rFonts w:hint="eastAsia" w:ascii="Times New Roman" w:hAnsi="Times New Roman" w:eastAsia="仿宋_GB2312" w:cs="Times New Roman"/>
          <w:b w:val="0"/>
          <w:bCs w:val="0"/>
          <w:sz w:val="32"/>
          <w:szCs w:val="32"/>
          <w:lang w:val="en-US" w:eastAsia="zh-CN"/>
        </w:rPr>
        <w:t>573.44</w:t>
      </w:r>
      <w:r>
        <w:rPr>
          <w:rFonts w:hint="eastAsia" w:ascii="仿宋_GB2312" w:hAnsi="仿宋_GB2312" w:eastAsia="仿宋_GB2312" w:cs="仿宋_GB2312"/>
          <w:b w:val="0"/>
          <w:bCs w:val="0"/>
          <w:sz w:val="32"/>
          <w:szCs w:val="32"/>
        </w:rPr>
        <w:t>万元，其中：基本支出</w:t>
      </w:r>
      <w:r>
        <w:rPr>
          <w:rFonts w:hint="eastAsia" w:ascii="Times New Roman" w:hAnsi="Times New Roman" w:eastAsia="仿宋_GB2312" w:cs="Times New Roman"/>
          <w:b w:val="0"/>
          <w:bCs w:val="0"/>
          <w:sz w:val="32"/>
          <w:szCs w:val="32"/>
          <w:lang w:val="en-US" w:eastAsia="zh-CN"/>
        </w:rPr>
        <w:t>512.77</w:t>
      </w:r>
      <w:r>
        <w:rPr>
          <w:rFonts w:hint="eastAsia" w:ascii="仿宋_GB2312" w:hAnsi="仿宋_GB2312" w:eastAsia="仿宋_GB2312" w:cs="仿宋_GB2312"/>
          <w:b w:val="0"/>
          <w:bCs w:val="0"/>
          <w:sz w:val="32"/>
          <w:szCs w:val="32"/>
        </w:rPr>
        <w:t>万元，占</w:t>
      </w:r>
      <w:r>
        <w:rPr>
          <w:rFonts w:hint="eastAsia" w:ascii="Times New Roman" w:hAnsi="Times New Roman" w:eastAsia="仿宋_GB2312" w:cs="Times New Roman"/>
          <w:b w:val="0"/>
          <w:bCs w:val="0"/>
          <w:sz w:val="32"/>
          <w:szCs w:val="32"/>
          <w:lang w:val="en-US" w:eastAsia="zh-CN"/>
        </w:rPr>
        <w:t>89.42</w:t>
      </w:r>
      <w:r>
        <w:rPr>
          <w:rFonts w:hint="eastAsia" w:ascii="仿宋_GB2312" w:hAnsi="仿宋_GB2312" w:eastAsia="仿宋_GB2312" w:cs="仿宋_GB2312"/>
          <w:b w:val="0"/>
          <w:bCs w:val="0"/>
          <w:sz w:val="32"/>
          <w:szCs w:val="32"/>
        </w:rPr>
        <w:t>%；项目支出</w:t>
      </w:r>
      <w:r>
        <w:rPr>
          <w:rFonts w:hint="eastAsia" w:ascii="Times New Roman" w:hAnsi="Times New Roman" w:eastAsia="仿宋_GB2312" w:cs="Times New Roman"/>
          <w:b w:val="0"/>
          <w:bCs w:val="0"/>
          <w:sz w:val="32"/>
          <w:szCs w:val="32"/>
          <w:lang w:val="en-US" w:eastAsia="zh-CN"/>
        </w:rPr>
        <w:t>60.67</w:t>
      </w:r>
      <w:r>
        <w:rPr>
          <w:rFonts w:hint="eastAsia" w:ascii="仿宋_GB2312" w:hAnsi="仿宋_GB2312" w:eastAsia="仿宋_GB2312" w:cs="仿宋_GB2312"/>
          <w:b w:val="0"/>
          <w:bCs w:val="0"/>
          <w:sz w:val="32"/>
          <w:szCs w:val="32"/>
        </w:rPr>
        <w:t>万元，占</w:t>
      </w:r>
      <w:r>
        <w:rPr>
          <w:rFonts w:hint="eastAsia" w:ascii="Times New Roman" w:hAnsi="Times New Roman" w:eastAsia="仿宋_GB2312" w:cs="Times New Roman"/>
          <w:b w:val="0"/>
          <w:bCs w:val="0"/>
          <w:sz w:val="32"/>
          <w:szCs w:val="32"/>
          <w:lang w:val="en-US" w:eastAsia="zh-CN"/>
        </w:rPr>
        <w:t>10.58</w:t>
      </w:r>
      <w:r>
        <w:rPr>
          <w:rFonts w:hint="eastAsia" w:ascii="仿宋_GB2312" w:hAnsi="仿宋_GB2312" w:eastAsia="仿宋_GB2312" w:cs="仿宋_GB2312"/>
          <w:b w:val="0"/>
          <w:bCs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四、财政拨款收入支出决算总体情况说明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rPr>
      </w:pP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年度财政拨款收、支总计</w:t>
      </w:r>
      <w:r>
        <w:rPr>
          <w:rFonts w:hint="eastAsia" w:ascii="Times New Roman" w:hAnsi="Times New Roman" w:eastAsia="仿宋_GB2312" w:cs="Times New Roman"/>
          <w:b w:val="0"/>
          <w:bCs w:val="0"/>
          <w:sz w:val="32"/>
          <w:szCs w:val="32"/>
          <w:lang w:val="en-US" w:eastAsia="zh-CN"/>
        </w:rPr>
        <w:t>615.23</w:t>
      </w:r>
      <w:r>
        <w:rPr>
          <w:rFonts w:hint="eastAsia" w:ascii="仿宋_GB2312" w:hAnsi="仿宋_GB2312" w:eastAsia="仿宋_GB2312" w:cs="仿宋_GB2312"/>
          <w:b w:val="0"/>
          <w:bCs w:val="0"/>
          <w:sz w:val="32"/>
          <w:szCs w:val="32"/>
        </w:rPr>
        <w:t>万元，与上年相比，减少</w:t>
      </w:r>
      <w:r>
        <w:rPr>
          <w:rFonts w:hint="eastAsia" w:ascii="Times New Roman" w:hAnsi="Times New Roman" w:eastAsia="仿宋_GB2312" w:cs="Times New Roman"/>
          <w:b w:val="0"/>
          <w:bCs w:val="0"/>
          <w:sz w:val="32"/>
          <w:szCs w:val="32"/>
          <w:lang w:val="en-US" w:eastAsia="zh-CN"/>
        </w:rPr>
        <w:t>12.37</w:t>
      </w:r>
      <w:r>
        <w:rPr>
          <w:rFonts w:hint="eastAsia" w:ascii="仿宋_GB2312" w:hAnsi="仿宋_GB2312" w:eastAsia="仿宋_GB2312" w:cs="仿宋_GB2312"/>
          <w:b w:val="0"/>
          <w:bCs w:val="0"/>
          <w:sz w:val="32"/>
          <w:szCs w:val="32"/>
        </w:rPr>
        <w:t>万元，减少</w:t>
      </w:r>
      <w:r>
        <w:rPr>
          <w:rFonts w:hint="eastAsia" w:ascii="Times New Roman" w:hAnsi="Times New Roman" w:eastAsia="仿宋_GB2312" w:cs="Times New Roman"/>
          <w:b w:val="0"/>
          <w:bCs w:val="0"/>
          <w:sz w:val="32"/>
          <w:szCs w:val="32"/>
          <w:lang w:val="en-US" w:eastAsia="zh-CN"/>
        </w:rPr>
        <w:t>1.97</w:t>
      </w:r>
      <w:r>
        <w:rPr>
          <w:rFonts w:hint="eastAsia" w:ascii="仿宋_GB2312" w:hAnsi="仿宋_GB2312" w:eastAsia="仿宋_GB2312" w:cs="仿宋_GB2312"/>
          <w:b w:val="0"/>
          <w:bCs w:val="0"/>
          <w:sz w:val="32"/>
          <w:szCs w:val="32"/>
        </w:rPr>
        <w:t>%，主要是因为</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年度部门年初预算指标较上年度有所缩减。</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五、一般公共预算财政拨款支出决算情况说明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（一）财政拨款支出决算总体情况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rPr>
        <w:t>年度财政拨款支出</w:t>
      </w:r>
      <w:r>
        <w:rPr>
          <w:rFonts w:hint="eastAsia" w:ascii="Times New Roman" w:hAnsi="Times New Roman" w:eastAsia="仿宋_GB2312" w:cs="Times New Roman"/>
          <w:b w:val="0"/>
          <w:bCs w:val="0"/>
          <w:sz w:val="32"/>
          <w:szCs w:val="32"/>
          <w:lang w:val="en-US" w:eastAsia="zh-CN"/>
        </w:rPr>
        <w:t>573.44</w:t>
      </w:r>
      <w:r>
        <w:rPr>
          <w:rFonts w:hint="eastAsia" w:ascii="Times New Roman" w:hAnsi="Times New Roman" w:eastAsia="仿宋_GB2312" w:cs="Times New Roman"/>
          <w:b w:val="0"/>
          <w:bCs w:val="0"/>
          <w:sz w:val="32"/>
          <w:szCs w:val="32"/>
        </w:rPr>
        <w:t>万元，占本年支出合计的</w:t>
      </w:r>
      <w:r>
        <w:rPr>
          <w:rFonts w:hint="default" w:ascii="Times New Roman" w:hAnsi="Times New Roman" w:eastAsia="仿宋_GB2312" w:cs="Times New Roman"/>
          <w:b w:val="0"/>
          <w:bCs w:val="0"/>
          <w:sz w:val="32"/>
          <w:szCs w:val="32"/>
          <w:lang w:val="en-US" w:eastAsia="zh-CN"/>
        </w:rPr>
        <w:t>100</w:t>
      </w:r>
      <w:r>
        <w:rPr>
          <w:rFonts w:hint="eastAsia" w:ascii="Times New Roman" w:hAnsi="Times New Roman" w:eastAsia="仿宋_GB2312" w:cs="Times New Roman"/>
          <w:b w:val="0"/>
          <w:bCs w:val="0"/>
          <w:sz w:val="32"/>
          <w:szCs w:val="32"/>
        </w:rPr>
        <w:t>%，与上年相比，财政拨款支出</w:t>
      </w:r>
      <w:r>
        <w:rPr>
          <w:rFonts w:hint="eastAsia" w:ascii="Times New Roman" w:hAnsi="Times New Roman" w:eastAsia="仿宋_GB2312" w:cs="Times New Roman"/>
          <w:b w:val="0"/>
          <w:bCs w:val="0"/>
          <w:sz w:val="32"/>
          <w:szCs w:val="32"/>
          <w:lang w:eastAsia="zh-CN"/>
        </w:rPr>
        <w:t>减少</w:t>
      </w:r>
      <w:r>
        <w:rPr>
          <w:rFonts w:hint="eastAsia" w:ascii="Times New Roman" w:hAnsi="Times New Roman" w:eastAsia="仿宋_GB2312" w:cs="Times New Roman"/>
          <w:b w:val="0"/>
          <w:bCs w:val="0"/>
          <w:sz w:val="32"/>
          <w:szCs w:val="32"/>
          <w:lang w:val="en-US" w:eastAsia="zh-CN"/>
        </w:rPr>
        <w:t>33.33</w:t>
      </w:r>
      <w:r>
        <w:rPr>
          <w:rFonts w:hint="eastAsia" w:ascii="Times New Roman" w:hAnsi="Times New Roman" w:eastAsia="仿宋_GB2312" w:cs="Times New Roman"/>
          <w:b w:val="0"/>
          <w:bCs w:val="0"/>
          <w:sz w:val="32"/>
          <w:szCs w:val="32"/>
        </w:rPr>
        <w:t>万元，</w:t>
      </w:r>
      <w:r>
        <w:rPr>
          <w:rFonts w:hint="eastAsia" w:ascii="Times New Roman" w:hAnsi="Times New Roman" w:eastAsia="仿宋_GB2312" w:cs="Times New Roman"/>
          <w:b w:val="0"/>
          <w:bCs w:val="0"/>
          <w:sz w:val="32"/>
          <w:szCs w:val="32"/>
          <w:lang w:eastAsia="zh-CN"/>
        </w:rPr>
        <w:t>减少</w:t>
      </w:r>
      <w:r>
        <w:rPr>
          <w:rFonts w:hint="eastAsia" w:ascii="Times New Roman" w:hAnsi="Times New Roman" w:eastAsia="仿宋_GB2312" w:cs="Times New Roman"/>
          <w:b w:val="0"/>
          <w:bCs w:val="0"/>
          <w:sz w:val="32"/>
          <w:szCs w:val="32"/>
          <w:lang w:val="en-US" w:eastAsia="zh-CN"/>
        </w:rPr>
        <w:t>5.49%</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主要是因为在职人员2021年的绩效奖在2022年1月发放，人员经费支出较上年有所减少。</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（二）财政拨款支出决算结构情况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rPr>
      </w:pP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rPr>
        <w:t>年度财政拨款支出</w:t>
      </w:r>
      <w:r>
        <w:rPr>
          <w:rFonts w:hint="eastAsia" w:ascii="Times New Roman" w:hAnsi="Times New Roman" w:eastAsia="仿宋_GB2312" w:cs="Times New Roman"/>
          <w:b w:val="0"/>
          <w:bCs w:val="0"/>
          <w:sz w:val="32"/>
          <w:szCs w:val="32"/>
          <w:lang w:val="en-US" w:eastAsia="zh-CN"/>
        </w:rPr>
        <w:t>573.44</w:t>
      </w:r>
      <w:r>
        <w:rPr>
          <w:rFonts w:hint="eastAsia" w:ascii="Times New Roman" w:hAnsi="Times New Roman" w:eastAsia="仿宋_GB2312" w:cs="Times New Roman"/>
          <w:b w:val="0"/>
          <w:bCs w:val="0"/>
          <w:sz w:val="32"/>
          <w:szCs w:val="32"/>
        </w:rPr>
        <w:t>万元，主要用于以下方面：社会保障和就业支出</w:t>
      </w:r>
      <w:r>
        <w:rPr>
          <w:rFonts w:hint="eastAsia" w:ascii="Times New Roman" w:hAnsi="Times New Roman" w:eastAsia="仿宋_GB2312" w:cs="Times New Roman"/>
          <w:b w:val="0"/>
          <w:bCs w:val="0"/>
          <w:sz w:val="32"/>
          <w:szCs w:val="32"/>
          <w:lang w:val="en-US" w:eastAsia="zh-CN"/>
        </w:rPr>
        <w:t>537.65</w:t>
      </w:r>
      <w:r>
        <w:rPr>
          <w:rFonts w:hint="eastAsia" w:ascii="Times New Roman" w:hAnsi="Times New Roman" w:eastAsia="仿宋_GB2312" w:cs="Times New Roman"/>
          <w:b w:val="0"/>
          <w:bCs w:val="0"/>
          <w:sz w:val="32"/>
          <w:szCs w:val="32"/>
        </w:rPr>
        <w:t>万元，占</w:t>
      </w:r>
      <w:r>
        <w:rPr>
          <w:rFonts w:hint="eastAsia" w:ascii="Times New Roman" w:hAnsi="Times New Roman" w:eastAsia="仿宋_GB2312" w:cs="Times New Roman"/>
          <w:b w:val="0"/>
          <w:bCs w:val="0"/>
          <w:sz w:val="32"/>
          <w:szCs w:val="32"/>
          <w:lang w:val="en-US" w:eastAsia="zh-CN"/>
        </w:rPr>
        <w:t>93.76</w:t>
      </w:r>
      <w:r>
        <w:rPr>
          <w:rFonts w:hint="eastAsia" w:ascii="Times New Roman" w:hAnsi="Times New Roman" w:eastAsia="仿宋_GB2312" w:cs="Times New Roman"/>
          <w:b w:val="0"/>
          <w:bCs w:val="0"/>
          <w:sz w:val="32"/>
          <w:szCs w:val="32"/>
        </w:rPr>
        <w:t>%；住房保障支出</w:t>
      </w:r>
      <w:r>
        <w:rPr>
          <w:rFonts w:hint="eastAsia" w:ascii="Times New Roman" w:hAnsi="Times New Roman" w:eastAsia="仿宋_GB2312" w:cs="Times New Roman"/>
          <w:b w:val="0"/>
          <w:bCs w:val="0"/>
          <w:sz w:val="32"/>
          <w:szCs w:val="32"/>
          <w:lang w:val="en-US" w:eastAsia="zh-CN"/>
        </w:rPr>
        <w:t>35.79</w:t>
      </w:r>
      <w:r>
        <w:rPr>
          <w:rFonts w:hint="eastAsia" w:ascii="Times New Roman" w:hAnsi="Times New Roman" w:eastAsia="仿宋_GB2312" w:cs="Times New Roman"/>
          <w:b w:val="0"/>
          <w:bCs w:val="0"/>
          <w:sz w:val="32"/>
          <w:szCs w:val="32"/>
        </w:rPr>
        <w:t>万元，占</w:t>
      </w:r>
      <w:r>
        <w:rPr>
          <w:rFonts w:hint="eastAsia" w:ascii="Times New Roman" w:hAnsi="Times New Roman" w:eastAsia="仿宋_GB2312" w:cs="Times New Roman"/>
          <w:b w:val="0"/>
          <w:bCs w:val="0"/>
          <w:sz w:val="32"/>
          <w:szCs w:val="32"/>
          <w:lang w:val="en-US" w:eastAsia="zh-CN"/>
        </w:rPr>
        <w:t>6.24</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（三）财政拨款支出决算具体情况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1年</w:t>
      </w:r>
      <w:r>
        <w:rPr>
          <w:rFonts w:hint="eastAsia" w:ascii="Times New Roman" w:hAnsi="Times New Roman" w:eastAsia="仿宋_GB2312" w:cs="Times New Roman"/>
          <w:b w:val="0"/>
          <w:bCs w:val="0"/>
          <w:sz w:val="32"/>
          <w:szCs w:val="32"/>
        </w:rPr>
        <w:t>度财政拨款支出年初预算数为</w:t>
      </w:r>
      <w:r>
        <w:rPr>
          <w:rFonts w:hint="eastAsia" w:ascii="Times New Roman" w:hAnsi="Times New Roman" w:eastAsia="仿宋_GB2312" w:cs="Times New Roman"/>
          <w:b w:val="0"/>
          <w:bCs w:val="0"/>
          <w:sz w:val="32"/>
          <w:szCs w:val="32"/>
          <w:lang w:val="en-US" w:eastAsia="zh-CN"/>
        </w:rPr>
        <w:t>503.61</w:t>
      </w:r>
      <w:r>
        <w:rPr>
          <w:rFonts w:hint="eastAsia" w:ascii="Times New Roman" w:hAnsi="Times New Roman" w:eastAsia="仿宋_GB2312" w:cs="Times New Roman"/>
          <w:b w:val="0"/>
          <w:bCs w:val="0"/>
          <w:sz w:val="32"/>
          <w:szCs w:val="32"/>
        </w:rPr>
        <w:t>万元，支出决算数为</w:t>
      </w:r>
      <w:r>
        <w:rPr>
          <w:rFonts w:hint="eastAsia" w:ascii="Times New Roman" w:hAnsi="Times New Roman" w:eastAsia="仿宋_GB2312" w:cs="Times New Roman"/>
          <w:b w:val="0"/>
          <w:bCs w:val="0"/>
          <w:sz w:val="32"/>
          <w:szCs w:val="32"/>
          <w:lang w:val="en-US" w:eastAsia="zh-CN"/>
        </w:rPr>
        <w:t>573.44</w:t>
      </w:r>
      <w:r>
        <w:rPr>
          <w:rFonts w:hint="eastAsia" w:ascii="Times New Roman" w:hAnsi="Times New Roman" w:eastAsia="仿宋_GB2312" w:cs="Times New Roman"/>
          <w:b w:val="0"/>
          <w:bCs w:val="0"/>
          <w:sz w:val="32"/>
          <w:szCs w:val="32"/>
        </w:rPr>
        <w:t>万元，完成年初预算的</w:t>
      </w:r>
      <w:r>
        <w:rPr>
          <w:rFonts w:hint="eastAsia" w:ascii="Times New Roman" w:hAnsi="Times New Roman" w:eastAsia="仿宋_GB2312" w:cs="Times New Roman"/>
          <w:b w:val="0"/>
          <w:bCs w:val="0"/>
          <w:sz w:val="32"/>
          <w:szCs w:val="32"/>
          <w:lang w:val="en-US" w:eastAsia="zh-CN"/>
        </w:rPr>
        <w:t>113.87%</w:t>
      </w:r>
      <w:r>
        <w:rPr>
          <w:rFonts w:hint="eastAsia" w:ascii="Times New Roman" w:hAnsi="Times New Roman" w:eastAsia="仿宋_GB2312" w:cs="Times New Roman"/>
          <w:b w:val="0"/>
          <w:bCs w:val="0"/>
          <w:sz w:val="32"/>
          <w:szCs w:val="32"/>
        </w:rPr>
        <w:t>，其中：</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color w:val="FF0000"/>
          <w:sz w:val="32"/>
          <w:szCs w:val="32"/>
          <w:highlight w:val="none"/>
          <w:lang w:eastAsia="zh-CN"/>
        </w:rPr>
      </w:pPr>
      <w:r>
        <w:rPr>
          <w:rFonts w:hint="eastAsia" w:ascii="仿宋_GB2312" w:hAnsi="仿宋_GB2312" w:eastAsia="仿宋_GB2312" w:cs="仿宋_GB2312"/>
          <w:b w:val="0"/>
          <w:bCs w:val="0"/>
          <w:color w:val="auto"/>
          <w:sz w:val="32"/>
          <w:szCs w:val="32"/>
        </w:rPr>
        <w:t>社会保障和就业支出</w:t>
      </w:r>
      <w:r>
        <w:rPr>
          <w:rFonts w:hint="eastAsia" w:ascii="仿宋_GB2312" w:hAnsi="仿宋_GB2312" w:eastAsia="仿宋_GB2312" w:cs="仿宋_GB2312"/>
          <w:b w:val="0"/>
          <w:bCs w:val="0"/>
          <w:color w:val="auto"/>
          <w:sz w:val="32"/>
          <w:szCs w:val="32"/>
          <w:lang w:eastAsia="zh-CN"/>
        </w:rPr>
        <w:t>类人力资源和社会保障管理事务款行政运行项。</w:t>
      </w:r>
      <w:r>
        <w:rPr>
          <w:rFonts w:hint="eastAsia" w:ascii="仿宋_GB2312" w:hAnsi="仿宋_GB2312" w:eastAsia="仿宋_GB2312" w:cs="仿宋_GB2312"/>
          <w:b w:val="0"/>
          <w:bCs w:val="0"/>
          <w:color w:val="auto"/>
          <w:sz w:val="32"/>
          <w:szCs w:val="32"/>
          <w:highlight w:val="none"/>
        </w:rPr>
        <w:t>年初预算为</w:t>
      </w:r>
      <w:r>
        <w:rPr>
          <w:rFonts w:hint="default" w:ascii="Times New Roman" w:hAnsi="Times New Roman" w:eastAsia="仿宋_GB2312" w:cs="Times New Roman"/>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万元，支出决算为</w:t>
      </w:r>
      <w:r>
        <w:rPr>
          <w:rFonts w:hint="eastAsia" w:ascii="Times New Roman" w:hAnsi="Times New Roman" w:eastAsia="仿宋_GB2312" w:cs="Times New Roman"/>
          <w:b w:val="0"/>
          <w:bCs w:val="0"/>
          <w:color w:val="auto"/>
          <w:sz w:val="32"/>
          <w:szCs w:val="32"/>
          <w:highlight w:val="none"/>
          <w:lang w:val="en-US" w:eastAsia="zh-CN"/>
        </w:rPr>
        <w:t>26.92</w:t>
      </w:r>
      <w:r>
        <w:rPr>
          <w:rFonts w:hint="eastAsia" w:ascii="仿宋_GB2312" w:hAnsi="仿宋_GB2312" w:eastAsia="仿宋_GB2312" w:cs="仿宋_GB2312"/>
          <w:b w:val="0"/>
          <w:bCs w:val="0"/>
          <w:color w:val="auto"/>
          <w:sz w:val="32"/>
          <w:szCs w:val="32"/>
          <w:highlight w:val="none"/>
        </w:rPr>
        <w:t>万元，决算数大于年初预算数的主要原因是：</w:t>
      </w:r>
      <w:r>
        <w:rPr>
          <w:rFonts w:hint="eastAsia" w:ascii="仿宋_GB2312" w:hAnsi="仿宋_GB2312" w:eastAsia="仿宋_GB2312" w:cs="仿宋_GB2312"/>
          <w:b w:val="0"/>
          <w:bCs w:val="0"/>
          <w:color w:val="auto"/>
          <w:sz w:val="32"/>
          <w:szCs w:val="32"/>
          <w:highlight w:val="none"/>
          <w:lang w:eastAsia="zh-CN"/>
        </w:rPr>
        <w:t>决算数包含了上年结余指标和年中追加指标。</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color w:val="auto"/>
          <w:sz w:val="32"/>
          <w:szCs w:val="32"/>
        </w:rPr>
        <w:t>社会保障和就业支出</w:t>
      </w:r>
      <w:r>
        <w:rPr>
          <w:rFonts w:hint="eastAsia" w:ascii="仿宋_GB2312" w:hAnsi="仿宋_GB2312" w:eastAsia="仿宋_GB2312" w:cs="仿宋_GB2312"/>
          <w:b w:val="0"/>
          <w:bCs w:val="0"/>
          <w:color w:val="auto"/>
          <w:sz w:val="32"/>
          <w:szCs w:val="32"/>
          <w:lang w:eastAsia="zh-CN"/>
        </w:rPr>
        <w:t>类人力资源和社会保障管理事务款社会保险经办机构项。</w:t>
      </w:r>
      <w:r>
        <w:rPr>
          <w:rFonts w:hint="eastAsia" w:ascii="Times New Roman" w:hAnsi="Times New Roman" w:eastAsia="仿宋_GB2312" w:cs="Times New Roman"/>
          <w:b w:val="0"/>
          <w:bCs w:val="0"/>
          <w:sz w:val="32"/>
          <w:szCs w:val="32"/>
          <w:lang w:val="en-US" w:eastAsia="zh-CN"/>
        </w:rPr>
        <w:t>年初预算为461.61万元，支出决算为478.32万元，完成年初预算的103.62%，决算数大于年初预算数的主要原因是：决算数包含了上年结余指标。</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rPr>
        <w:t>社会保障和就业支出</w:t>
      </w:r>
      <w:r>
        <w:rPr>
          <w:rFonts w:hint="eastAsia" w:ascii="仿宋_GB2312" w:hAnsi="仿宋_GB2312" w:eastAsia="仿宋_GB2312" w:cs="仿宋_GB2312"/>
          <w:b w:val="0"/>
          <w:bCs w:val="0"/>
          <w:color w:val="auto"/>
          <w:sz w:val="32"/>
          <w:szCs w:val="32"/>
          <w:lang w:eastAsia="zh-CN"/>
        </w:rPr>
        <w:t>类其他社会保障和就业支出款其他社会保障和就业支出项。</w:t>
      </w:r>
      <w:r>
        <w:rPr>
          <w:rFonts w:hint="eastAsia" w:ascii="Times New Roman" w:hAnsi="Times New Roman" w:eastAsia="仿宋_GB2312" w:cs="Times New Roman"/>
          <w:b w:val="0"/>
          <w:bCs w:val="0"/>
          <w:color w:val="auto"/>
          <w:sz w:val="32"/>
          <w:szCs w:val="32"/>
          <w:lang w:val="en-US" w:eastAsia="zh-CN"/>
        </w:rPr>
        <w:t>年初预算为</w:t>
      </w:r>
      <w:r>
        <w:rPr>
          <w:rFonts w:hint="default" w:ascii="Times New Roman" w:hAnsi="Times New Roman" w:eastAsia="仿宋_GB2312" w:cs="Times New Roman"/>
          <w:b w:val="0"/>
          <w:bCs w:val="0"/>
          <w:color w:val="auto"/>
          <w:sz w:val="32"/>
          <w:szCs w:val="32"/>
          <w:lang w:val="en-US" w:eastAsia="zh-CN"/>
        </w:rPr>
        <w:t>0</w:t>
      </w:r>
      <w:r>
        <w:rPr>
          <w:rFonts w:hint="eastAsia" w:ascii="Times New Roman" w:hAnsi="Times New Roman" w:eastAsia="仿宋_GB2312" w:cs="Times New Roman"/>
          <w:b w:val="0"/>
          <w:bCs w:val="0"/>
          <w:color w:val="auto"/>
          <w:sz w:val="32"/>
          <w:szCs w:val="32"/>
          <w:lang w:val="en-US" w:eastAsia="zh-CN"/>
        </w:rPr>
        <w:t>万元，支出决算为32.41万元，决算数大于年初预算数的主要原因是：省财政于年中追加了该项指标。</w:t>
      </w:r>
    </w:p>
    <w:p>
      <w:pPr>
        <w:pStyle w:val="10"/>
        <w:keepNext w:val="0"/>
        <w:keepLines w:val="0"/>
        <w:pageBreakBefore w:val="0"/>
        <w:widowControl w:val="0"/>
        <w:numPr>
          <w:ilvl w:val="0"/>
          <w:numId w:val="3"/>
        </w:numPr>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val="0"/>
          <w:bCs w:val="0"/>
          <w:color w:val="auto"/>
          <w:sz w:val="32"/>
          <w:szCs w:val="32"/>
          <w:lang w:eastAsia="zh-CN"/>
        </w:rPr>
        <w:t>住房保障支出类住房改革支出款住房公积金项。</w:t>
      </w:r>
      <w:r>
        <w:rPr>
          <w:rFonts w:hint="eastAsia" w:ascii="仿宋_GB2312" w:hAnsi="仿宋_GB2312" w:eastAsia="仿宋_GB2312" w:cs="仿宋_GB2312"/>
          <w:b w:val="0"/>
          <w:bCs w:val="0"/>
          <w:color w:val="auto"/>
          <w:sz w:val="32"/>
          <w:szCs w:val="32"/>
          <w:highlight w:val="none"/>
        </w:rPr>
        <w:t>年初预算为</w:t>
      </w:r>
      <w:r>
        <w:rPr>
          <w:rFonts w:hint="eastAsia" w:ascii="Times New Roman" w:hAnsi="Times New Roman" w:eastAsia="仿宋_GB2312" w:cs="Times New Roman"/>
          <w:b w:val="0"/>
          <w:bCs w:val="0"/>
          <w:color w:val="auto"/>
          <w:sz w:val="32"/>
          <w:szCs w:val="32"/>
          <w:highlight w:val="none"/>
          <w:lang w:val="en-US" w:eastAsia="zh-CN"/>
        </w:rPr>
        <w:t>42</w:t>
      </w:r>
      <w:r>
        <w:rPr>
          <w:rFonts w:hint="eastAsia" w:ascii="仿宋_GB2312" w:hAnsi="仿宋_GB2312" w:eastAsia="仿宋_GB2312" w:cs="仿宋_GB2312"/>
          <w:b w:val="0"/>
          <w:bCs w:val="0"/>
          <w:color w:val="auto"/>
          <w:sz w:val="32"/>
          <w:szCs w:val="32"/>
          <w:highlight w:val="none"/>
        </w:rPr>
        <w:t>万元，支出决算为</w:t>
      </w:r>
      <w:r>
        <w:rPr>
          <w:rFonts w:hint="eastAsia" w:ascii="Times New Roman" w:hAnsi="Times New Roman" w:eastAsia="仿宋_GB2312" w:cs="Times New Roman"/>
          <w:b w:val="0"/>
          <w:bCs w:val="0"/>
          <w:color w:val="auto"/>
          <w:sz w:val="32"/>
          <w:szCs w:val="32"/>
          <w:highlight w:val="none"/>
          <w:lang w:val="en-US" w:eastAsia="zh-CN"/>
        </w:rPr>
        <w:t>35.79</w:t>
      </w:r>
      <w:r>
        <w:rPr>
          <w:rFonts w:hint="eastAsia" w:ascii="仿宋_GB2312" w:hAnsi="仿宋_GB2312" w:eastAsia="仿宋_GB2312" w:cs="仿宋_GB2312"/>
          <w:b w:val="0"/>
          <w:bCs w:val="0"/>
          <w:color w:val="auto"/>
          <w:sz w:val="32"/>
          <w:szCs w:val="32"/>
          <w:highlight w:val="none"/>
        </w:rPr>
        <w:t>万元，完成年初预算的</w:t>
      </w:r>
      <w:r>
        <w:rPr>
          <w:rFonts w:hint="eastAsia" w:ascii="Times New Roman" w:hAnsi="Times New Roman" w:eastAsia="仿宋_GB2312" w:cs="Times New Roman"/>
          <w:b w:val="0"/>
          <w:bCs w:val="0"/>
          <w:color w:val="auto"/>
          <w:sz w:val="32"/>
          <w:szCs w:val="32"/>
          <w:highlight w:val="none"/>
          <w:lang w:val="en-US" w:eastAsia="zh-CN"/>
        </w:rPr>
        <w:t>85.21</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r>
        <w:rPr>
          <w:rFonts w:hint="eastAsia" w:asciiTheme="minorEastAsia" w:hAnsiTheme="minorEastAsia" w:eastAsiaTheme="minorEastAsia"/>
          <w:color w:val="auto"/>
          <w:sz w:val="32"/>
          <w:szCs w:val="32"/>
        </w:rPr>
        <w:t>决</w:t>
      </w:r>
      <w:r>
        <w:rPr>
          <w:rFonts w:hint="eastAsia" w:ascii="仿宋_GB2312" w:hAnsi="仿宋_GB2312" w:eastAsia="仿宋_GB2312" w:cs="仿宋_GB2312"/>
          <w:b w:val="0"/>
          <w:bCs w:val="0"/>
          <w:color w:val="auto"/>
          <w:sz w:val="32"/>
          <w:szCs w:val="32"/>
          <w:highlight w:val="none"/>
        </w:rPr>
        <w:t>算数小于年初预算数的主要原因是</w:t>
      </w:r>
      <w:r>
        <w:rPr>
          <w:rFonts w:hint="eastAsia" w:ascii="仿宋_GB2312" w:hAnsi="仿宋_GB2312" w:eastAsia="仿宋_GB2312" w:cs="仿宋_GB2312"/>
          <w:b w:val="0"/>
          <w:bCs w:val="0"/>
          <w:color w:val="auto"/>
          <w:sz w:val="32"/>
          <w:szCs w:val="32"/>
          <w:highlight w:val="none"/>
          <w:lang w:eastAsia="zh-CN"/>
        </w:rPr>
        <w:t>：</w:t>
      </w:r>
      <w:r>
        <w:rPr>
          <w:rFonts w:hint="eastAsia" w:ascii="Times New Roman" w:hAnsi="Times New Roman" w:eastAsia="仿宋_GB2312" w:cs="Times New Roman"/>
          <w:b w:val="0"/>
          <w:bCs w:val="0"/>
          <w:sz w:val="32"/>
          <w:szCs w:val="32"/>
          <w:lang w:val="en-US" w:eastAsia="zh-CN"/>
        </w:rPr>
        <w:t>由于单位人员经费存在硬缺口，经财政厅审批从住房公积金指标中调剂了6万元至人员经费，因此住房公积金决算数小于年初预算数。</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六、一般公共预算财政拨款基本支出决算情况说明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年度财政拨款基本支出512.77万元，其中：人员经费466.91万元，占基本支出的91.06%，主要包括基本工资、津贴补贴、奖金、伙食补助费、机关事业单位基本养老保险缴费、职工基本医疗保险缴费、公务员医疗补助缴费、住房公积金、其他工资福利支出、奖励金；公用经费45.86万元，占基本支出的8.94%，主要包括办公费、印刷费、邮电费、差旅费、维修（护）费、会议费、培训费、公务接待费、劳务费、工会经费、其他交通费用、其他商品和服务支出。</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七、一般公共预算财政拨款三公经费支出决算情况说明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（一）“三公”经费财政拨款支出决算总体情况说明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w:t>
      </w:r>
      <w:r>
        <w:rPr>
          <w:rFonts w:hint="eastAsia" w:ascii="Times New Roman" w:hAnsi="Times New Roman" w:eastAsia="仿宋_GB2312" w:cs="Times New Roman"/>
          <w:b w:val="0"/>
          <w:bCs w:val="0"/>
          <w:sz w:val="32"/>
          <w:szCs w:val="32"/>
          <w:lang w:val="en-US" w:eastAsia="zh-CN"/>
        </w:rPr>
        <w:t>三公”经费财政拨款支出预算为</w:t>
      </w:r>
      <w:r>
        <w:rPr>
          <w:rFonts w:hint="default"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b w:val="0"/>
          <w:bCs w:val="0"/>
          <w:sz w:val="32"/>
          <w:szCs w:val="32"/>
          <w:lang w:val="en-US" w:eastAsia="zh-CN"/>
        </w:rPr>
        <w:t>万元，支出决算为0.76万元，完成预算的25.33%，其中：</w:t>
      </w:r>
      <w:r>
        <w:rPr>
          <w:rFonts w:hint="eastAsia" w:ascii="仿宋_GB2312" w:hAnsi="仿宋_GB2312" w:eastAsia="仿宋_GB2312" w:cs="仿宋_GB2312"/>
          <w:b w:val="0"/>
          <w:bCs w:val="0"/>
          <w:sz w:val="32"/>
          <w:szCs w:val="32"/>
          <w:lang w:val="en-US" w:eastAsia="zh-CN"/>
        </w:rPr>
        <w:t>公务接待费支出预算为</w:t>
      </w:r>
      <w:r>
        <w:rPr>
          <w:rFonts w:hint="eastAsia"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lang w:val="en-US" w:eastAsia="zh-CN"/>
        </w:rPr>
        <w:t>万元，支出决算为</w:t>
      </w:r>
      <w:r>
        <w:rPr>
          <w:rFonts w:hint="eastAsia" w:ascii="Times New Roman" w:hAnsi="Times New Roman" w:eastAsia="仿宋_GB2312" w:cs="Times New Roman"/>
          <w:b w:val="0"/>
          <w:bCs w:val="0"/>
          <w:sz w:val="32"/>
          <w:szCs w:val="32"/>
          <w:lang w:val="en-US" w:eastAsia="zh-CN"/>
        </w:rPr>
        <w:t>0.76</w:t>
      </w:r>
      <w:r>
        <w:rPr>
          <w:rFonts w:hint="eastAsia" w:ascii="仿宋_GB2312" w:hAnsi="仿宋_GB2312" w:eastAsia="仿宋_GB2312" w:cs="仿宋_GB2312"/>
          <w:b w:val="0"/>
          <w:bCs w:val="0"/>
          <w:sz w:val="32"/>
          <w:szCs w:val="32"/>
          <w:lang w:val="en-US" w:eastAsia="zh-CN"/>
        </w:rPr>
        <w:t>万元，完成预算的</w:t>
      </w:r>
      <w:r>
        <w:rPr>
          <w:rFonts w:hint="eastAsia" w:ascii="Times New Roman" w:hAnsi="Times New Roman" w:eastAsia="仿宋_GB2312" w:cs="Times New Roman"/>
          <w:b w:val="0"/>
          <w:bCs w:val="0"/>
          <w:sz w:val="32"/>
          <w:szCs w:val="32"/>
          <w:lang w:val="en-US" w:eastAsia="zh-CN"/>
        </w:rPr>
        <w:t>25.33%</w:t>
      </w:r>
      <w:r>
        <w:rPr>
          <w:rFonts w:hint="eastAsia" w:ascii="仿宋_GB2312" w:hAnsi="仿宋_GB2312" w:eastAsia="仿宋_GB2312" w:cs="仿宋_GB2312"/>
          <w:b w:val="0"/>
          <w:bCs w:val="0"/>
          <w:sz w:val="32"/>
          <w:szCs w:val="32"/>
          <w:lang w:val="en-US" w:eastAsia="zh-CN"/>
        </w:rPr>
        <w:t>，决算数小于预算数的主要原因是</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年公务接待次数减少，支出减少。与上年相比减少</w:t>
      </w:r>
      <w:r>
        <w:rPr>
          <w:rFonts w:hint="eastAsia" w:ascii="Times New Roman" w:hAnsi="Times New Roman" w:eastAsia="仿宋_GB2312" w:cs="Times New Roman"/>
          <w:b w:val="0"/>
          <w:bCs w:val="0"/>
          <w:sz w:val="32"/>
          <w:szCs w:val="32"/>
          <w:lang w:val="en-US" w:eastAsia="zh-CN"/>
        </w:rPr>
        <w:t>0.27</w:t>
      </w:r>
      <w:r>
        <w:rPr>
          <w:rFonts w:hint="eastAsia" w:ascii="仿宋_GB2312" w:hAnsi="仿宋_GB2312" w:eastAsia="仿宋_GB2312" w:cs="仿宋_GB2312"/>
          <w:b w:val="0"/>
          <w:bCs w:val="0"/>
          <w:sz w:val="32"/>
          <w:szCs w:val="32"/>
          <w:lang w:val="en-US" w:eastAsia="zh-CN"/>
        </w:rPr>
        <w:t>万元，减少</w:t>
      </w:r>
      <w:r>
        <w:rPr>
          <w:rFonts w:hint="eastAsia" w:ascii="Times New Roman" w:hAnsi="Times New Roman" w:eastAsia="仿宋_GB2312" w:cs="Times New Roman"/>
          <w:b w:val="0"/>
          <w:bCs w:val="0"/>
          <w:sz w:val="32"/>
          <w:szCs w:val="32"/>
          <w:lang w:val="en-US" w:eastAsia="zh-CN"/>
        </w:rPr>
        <w:t>26.21%</w:t>
      </w:r>
      <w:r>
        <w:rPr>
          <w:rFonts w:hint="eastAsia" w:ascii="仿宋_GB2312" w:hAnsi="仿宋_GB2312" w:eastAsia="仿宋_GB2312" w:cs="仿宋_GB2312"/>
          <w:b w:val="0"/>
          <w:bCs w:val="0"/>
          <w:sz w:val="32"/>
          <w:szCs w:val="32"/>
          <w:lang w:val="en-US" w:eastAsia="zh-CN"/>
        </w:rPr>
        <w:t>，减少的主要原因是</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年公务接待次数较上年有所减少。</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（二）“三公”经费财政拨款支出决算具体情况说明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800" w:firstLineChars="250"/>
        <w:jc w:val="left"/>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1年度“三公”经费财政拨款支出决算中，公务接待费支出决算0.76万元，占</w:t>
      </w:r>
      <w:r>
        <w:rPr>
          <w:rFonts w:hint="default" w:ascii="Times New Roman" w:hAnsi="Times New Roman" w:eastAsia="仿宋_GB2312" w:cs="Times New Roman"/>
          <w:b w:val="0"/>
          <w:bCs w:val="0"/>
          <w:sz w:val="32"/>
          <w:szCs w:val="32"/>
          <w:lang w:val="en-US" w:eastAsia="zh-CN"/>
        </w:rPr>
        <w:t>100</w:t>
      </w:r>
      <w:r>
        <w:rPr>
          <w:rFonts w:hint="eastAsia" w:ascii="Times New Roman" w:hAnsi="Times New Roman" w:eastAsia="仿宋_GB2312" w:cs="Times New Roman"/>
          <w:b w:val="0"/>
          <w:bCs w:val="0"/>
          <w:sz w:val="32"/>
          <w:szCs w:val="32"/>
          <w:lang w:val="en-US" w:eastAsia="zh-CN"/>
        </w:rPr>
        <w:t>%。其中：公务接待费支出决算为0.76万元，全年共接待来访团组10个、来宾61人次，主要是湖南省各市州社保中心到省机关事保学习相关业务发生的接待支出。</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八、政府性基金预算收入支出决算情况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jc w:val="left"/>
        <w:textAlignment w:val="auto"/>
        <w:outlineLvl w:val="9"/>
        <w:rPr>
          <w:rFonts w:hint="eastAsia" w:ascii="仿宋_GB2312" w:hAnsi="仿宋_GB2312" w:eastAsia="仿宋_GB2312" w:cs="仿宋_GB2312"/>
          <w:b w:val="0"/>
          <w:bCs w:val="0"/>
          <w:sz w:val="32"/>
          <w:szCs w:val="32"/>
        </w:rPr>
      </w:pPr>
      <w:r>
        <w:rPr>
          <w:rFonts w:hint="eastAsia" w:asciiTheme="minorEastAsia" w:hAnsiTheme="minorEastAsia" w:eastAsiaTheme="minorEastAsia"/>
          <w:b w:val="0"/>
          <w:bCs w:val="0"/>
          <w:sz w:val="32"/>
          <w:szCs w:val="32"/>
        </w:rPr>
        <w:t xml:space="preserve">    </w:t>
      </w:r>
      <w:r>
        <w:rPr>
          <w:rFonts w:hint="eastAsia" w:ascii="Times New Roman" w:hAnsi="Times New Roman" w:eastAsia="仿宋_GB2312" w:cs="Times New Roman"/>
          <w:b w:val="0"/>
          <w:bCs w:val="0"/>
          <w:sz w:val="32"/>
          <w:szCs w:val="32"/>
          <w:lang w:val="en-US" w:eastAsia="zh-CN"/>
        </w:rPr>
        <w:t>本单位无政府性基金收支。</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九、关于机关运行经费支出说明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本部门</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年度机关运行经费支出45.86万元，比年初预算数减少15.84万元，降低25.67%。主要原因是：由于单位人员经费存在硬缺口，经财政厅审批从机关运行经费中调剂了12.75万元至人员经费，因此机关运行经费决算数小于年初预算数。</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十、一般性支出情况</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eastAsia="zh-CN"/>
        </w:rPr>
        <w:t>年本部门开支会议费</w:t>
      </w:r>
      <w:r>
        <w:rPr>
          <w:rFonts w:hint="eastAsia" w:ascii="Times New Roman" w:hAnsi="Times New Roman" w:eastAsia="仿宋_GB2312" w:cs="Times New Roman"/>
          <w:b w:val="0"/>
          <w:bCs w:val="0"/>
          <w:sz w:val="32"/>
          <w:szCs w:val="32"/>
          <w:lang w:val="en-US" w:eastAsia="zh-CN"/>
        </w:rPr>
        <w:t>0.43</w:t>
      </w:r>
      <w:r>
        <w:rPr>
          <w:rFonts w:hint="eastAsia" w:ascii="仿宋_GB2312" w:hAnsi="仿宋_GB2312" w:eastAsia="仿宋_GB2312" w:cs="仿宋_GB2312"/>
          <w:b w:val="0"/>
          <w:bCs w:val="0"/>
          <w:sz w:val="32"/>
          <w:szCs w:val="32"/>
          <w:lang w:eastAsia="zh-CN"/>
        </w:rPr>
        <w:t>万元，用于召开</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eastAsia="zh-CN"/>
        </w:rPr>
        <w:t>年度机关事保信息系统优化业务专题研讨会，人数</w:t>
      </w:r>
      <w:r>
        <w:rPr>
          <w:rFonts w:hint="eastAsia" w:ascii="Times New Roman" w:hAnsi="Times New Roman" w:eastAsia="仿宋_GB2312" w:cs="Times New Roman"/>
          <w:b w:val="0"/>
          <w:bCs w:val="0"/>
          <w:sz w:val="32"/>
          <w:szCs w:val="32"/>
          <w:lang w:val="en-US" w:eastAsia="zh-CN"/>
        </w:rPr>
        <w:t>65</w:t>
      </w:r>
      <w:r>
        <w:rPr>
          <w:rFonts w:hint="eastAsia" w:ascii="仿宋_GB2312" w:hAnsi="仿宋_GB2312" w:eastAsia="仿宋_GB2312" w:cs="仿宋_GB2312"/>
          <w:b w:val="0"/>
          <w:bCs w:val="0"/>
          <w:sz w:val="32"/>
          <w:szCs w:val="32"/>
          <w:lang w:eastAsia="zh-CN"/>
        </w:rPr>
        <w:t>人，会议内容为：一是聚焦当前经办现实问题，补齐信息系统建设短板，向信息化要能力，进一步优化完善系统功能；二是共商共建优化信息系统，对</w:t>
      </w:r>
      <w:r>
        <w:rPr>
          <w:rFonts w:hint="eastAsia" w:ascii="Times New Roman" w:hAnsi="Times New Roman" w:eastAsia="仿宋_GB2312" w:cs="Times New Roman"/>
          <w:b w:val="0"/>
          <w:bCs w:val="0"/>
          <w:sz w:val="32"/>
          <w:szCs w:val="32"/>
          <w:lang w:val="en-US" w:eastAsia="zh-CN"/>
        </w:rPr>
        <w:t>2021</w:t>
      </w:r>
      <w:r>
        <w:rPr>
          <w:rFonts w:hint="eastAsia" w:ascii="仿宋_GB2312" w:hAnsi="仿宋_GB2312" w:eastAsia="仿宋_GB2312" w:cs="仿宋_GB2312"/>
          <w:b w:val="0"/>
          <w:bCs w:val="0"/>
          <w:sz w:val="32"/>
          <w:szCs w:val="32"/>
          <w:lang w:val="en-US" w:eastAsia="zh-CN"/>
        </w:rPr>
        <w:t>年信息系统建设重点工作任务征求与会市州意见，共同谋划系统优化；三</w:t>
      </w:r>
      <w:r>
        <w:rPr>
          <w:rFonts w:hint="eastAsia" w:ascii="仿宋_GB2312" w:hAnsi="仿宋_GB2312" w:eastAsia="仿宋_GB2312" w:cs="仿宋_GB2312"/>
          <w:b w:val="0"/>
          <w:bCs w:val="0"/>
          <w:sz w:val="32"/>
          <w:szCs w:val="32"/>
          <w:lang w:eastAsia="zh-CN"/>
        </w:rPr>
        <w:t>是探讨完善改进运维工作流程，进一步提升运维效率，提高问题处置响应能力，及时分类指导解决问题。</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开支培训费</w:t>
      </w:r>
      <w:r>
        <w:rPr>
          <w:rFonts w:hint="eastAsia" w:ascii="Times New Roman" w:hAnsi="Times New Roman" w:eastAsia="仿宋_GB2312" w:cs="Times New Roman"/>
          <w:b w:val="0"/>
          <w:bCs w:val="0"/>
          <w:sz w:val="32"/>
          <w:szCs w:val="32"/>
          <w:lang w:val="en-US" w:eastAsia="zh-CN"/>
        </w:rPr>
        <w:t>0.12</w:t>
      </w:r>
      <w:r>
        <w:rPr>
          <w:rFonts w:hint="eastAsia" w:ascii="仿宋_GB2312" w:hAnsi="仿宋_GB2312" w:eastAsia="仿宋_GB2312" w:cs="仿宋_GB2312"/>
          <w:b w:val="0"/>
          <w:bCs w:val="0"/>
          <w:sz w:val="32"/>
          <w:szCs w:val="32"/>
          <w:lang w:eastAsia="zh-CN"/>
        </w:rPr>
        <w:t>万元，用于开展职业年金补记业务培训，人数</w:t>
      </w:r>
      <w:r>
        <w:rPr>
          <w:rFonts w:hint="eastAsia" w:ascii="Times New Roman" w:hAnsi="Times New Roman" w:eastAsia="仿宋_GB2312" w:cs="Times New Roman"/>
          <w:b w:val="0"/>
          <w:bCs w:val="0"/>
          <w:sz w:val="32"/>
          <w:szCs w:val="32"/>
          <w:lang w:val="en-US" w:eastAsia="zh-CN"/>
        </w:rPr>
        <w:t>30</w:t>
      </w:r>
      <w:r>
        <w:rPr>
          <w:rFonts w:hint="eastAsia" w:ascii="仿宋_GB2312" w:hAnsi="仿宋_GB2312" w:eastAsia="仿宋_GB2312" w:cs="仿宋_GB2312"/>
          <w:b w:val="0"/>
          <w:bCs w:val="0"/>
          <w:sz w:val="32"/>
          <w:szCs w:val="32"/>
          <w:lang w:val="en-US" w:eastAsia="zh-CN"/>
        </w:rPr>
        <w:t>人，</w:t>
      </w:r>
      <w:r>
        <w:rPr>
          <w:rFonts w:hint="eastAsia" w:ascii="仿宋_GB2312" w:hAnsi="仿宋_GB2312" w:eastAsia="仿宋_GB2312" w:cs="仿宋_GB2312"/>
          <w:b w:val="0"/>
          <w:bCs w:val="0"/>
          <w:sz w:val="32"/>
          <w:szCs w:val="32"/>
          <w:lang w:eastAsia="zh-CN"/>
        </w:rPr>
        <w:t>培训内容为：学习职业年金补记政策、经办流程、注意事项等。</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rPr>
      </w:pPr>
      <w:r>
        <w:rPr>
          <w:rFonts w:hint="eastAsia" w:hAnsi="黑体"/>
          <w:b w:val="0"/>
          <w:bCs w:val="0"/>
          <w:sz w:val="32"/>
          <w:szCs w:val="32"/>
        </w:rPr>
        <w:t>十一、关于政府采购支出说明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val="0"/>
          <w:bCs w:val="0"/>
          <w:sz w:val="32"/>
          <w:szCs w:val="32"/>
          <w:lang w:val="en-US" w:eastAsia="zh-CN"/>
        </w:rPr>
        <w:t>本部门</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年度政府采购支出总额</w:t>
      </w:r>
      <w:r>
        <w:rPr>
          <w:rFonts w:hint="eastAsia" w:ascii="Times New Roman" w:hAnsi="Times New Roman" w:eastAsia="仿宋_GB2312" w:cs="Times New Roman"/>
          <w:b w:val="0"/>
          <w:bCs w:val="0"/>
          <w:sz w:val="32"/>
          <w:szCs w:val="32"/>
          <w:lang w:val="en-US" w:eastAsia="zh-CN"/>
        </w:rPr>
        <w:t>14.92</w:t>
      </w:r>
      <w:r>
        <w:rPr>
          <w:rFonts w:hint="eastAsia" w:ascii="仿宋_GB2312" w:hAnsi="仿宋_GB2312" w:eastAsia="仿宋_GB2312" w:cs="仿宋_GB2312"/>
          <w:b w:val="0"/>
          <w:bCs w:val="0"/>
          <w:sz w:val="32"/>
          <w:szCs w:val="32"/>
          <w:lang w:val="en-US" w:eastAsia="zh-CN"/>
        </w:rPr>
        <w:t>万元，其中：政府采购货物支出</w:t>
      </w:r>
      <w:r>
        <w:rPr>
          <w:rFonts w:hint="eastAsia" w:ascii="Times New Roman" w:hAnsi="Times New Roman" w:eastAsia="仿宋_GB2312" w:cs="Times New Roman"/>
          <w:b w:val="0"/>
          <w:bCs w:val="0"/>
          <w:sz w:val="32"/>
          <w:szCs w:val="32"/>
          <w:lang w:val="en-US" w:eastAsia="zh-CN"/>
        </w:rPr>
        <w:t>8.15</w:t>
      </w:r>
      <w:r>
        <w:rPr>
          <w:rFonts w:hint="eastAsia" w:ascii="仿宋_GB2312" w:hAnsi="仿宋_GB2312" w:eastAsia="仿宋_GB2312" w:cs="仿宋_GB2312"/>
          <w:b w:val="0"/>
          <w:bCs w:val="0"/>
          <w:sz w:val="32"/>
          <w:szCs w:val="32"/>
          <w:lang w:val="en-US" w:eastAsia="zh-CN"/>
        </w:rPr>
        <w:t>万元、政府采购服务支出</w:t>
      </w:r>
      <w:r>
        <w:rPr>
          <w:rFonts w:hint="eastAsia" w:ascii="Times New Roman" w:hAnsi="Times New Roman" w:eastAsia="仿宋_GB2312" w:cs="Times New Roman"/>
          <w:b w:val="0"/>
          <w:bCs w:val="0"/>
          <w:sz w:val="32"/>
          <w:szCs w:val="32"/>
          <w:lang w:val="en-US" w:eastAsia="zh-CN"/>
        </w:rPr>
        <w:t>6.77万</w:t>
      </w:r>
      <w:r>
        <w:rPr>
          <w:rFonts w:hint="eastAsia" w:ascii="仿宋_GB2312" w:hAnsi="仿宋_GB2312" w:eastAsia="仿宋_GB2312" w:cs="仿宋_GB2312"/>
          <w:b w:val="0"/>
          <w:bCs w:val="0"/>
          <w:sz w:val="32"/>
          <w:szCs w:val="32"/>
          <w:lang w:val="en-US" w:eastAsia="zh-CN"/>
        </w:rPr>
        <w:t>元。授予中小微</w:t>
      </w:r>
      <w:bookmarkStart w:id="3" w:name="_GoBack"/>
      <w:bookmarkEnd w:id="3"/>
      <w:r>
        <w:rPr>
          <w:rFonts w:hint="eastAsia" w:ascii="仿宋_GB2312" w:hAnsi="仿宋_GB2312" w:eastAsia="仿宋_GB2312" w:cs="仿宋_GB2312"/>
          <w:b w:val="0"/>
          <w:bCs w:val="0"/>
          <w:sz w:val="32"/>
          <w:szCs w:val="32"/>
          <w:lang w:val="en-US" w:eastAsia="zh-CN"/>
        </w:rPr>
        <w:t>企业合同金</w:t>
      </w:r>
      <w:r>
        <w:rPr>
          <w:rFonts w:hint="eastAsia" w:ascii="Times New Roman" w:hAnsi="Times New Roman" w:eastAsia="仿宋_GB2312" w:cs="Times New Roman"/>
          <w:b w:val="0"/>
          <w:bCs w:val="0"/>
          <w:sz w:val="32"/>
          <w:szCs w:val="32"/>
          <w:lang w:val="en-US" w:eastAsia="zh-CN"/>
        </w:rPr>
        <w:t>额14.92</w:t>
      </w:r>
      <w:r>
        <w:rPr>
          <w:rFonts w:hint="eastAsia" w:ascii="仿宋_GB2312" w:hAnsi="仿宋_GB2312" w:eastAsia="仿宋_GB2312" w:cs="仿宋_GB2312"/>
          <w:b w:val="0"/>
          <w:bCs w:val="0"/>
          <w:sz w:val="32"/>
          <w:szCs w:val="32"/>
          <w:lang w:val="en-US" w:eastAsia="zh-CN"/>
        </w:rPr>
        <w:t>万元，占政府采购支出总额的</w:t>
      </w:r>
      <w:r>
        <w:rPr>
          <w:rFonts w:hint="eastAsia" w:ascii="Times New Roman" w:hAnsi="Times New Roman" w:eastAsia="仿宋_GB2312" w:cs="Times New Roman"/>
          <w:b w:val="0"/>
          <w:bCs w:val="0"/>
          <w:sz w:val="32"/>
          <w:szCs w:val="32"/>
          <w:lang w:val="en-US" w:eastAsia="zh-CN"/>
        </w:rPr>
        <w:t>100%</w:t>
      </w:r>
      <w:r>
        <w:rPr>
          <w:rFonts w:hint="eastAsia" w:ascii="仿宋_GB2312" w:hAnsi="仿宋_GB2312" w:eastAsia="仿宋_GB2312" w:cs="仿宋_GB2312"/>
          <w:b w:val="0"/>
          <w:bCs w:val="0"/>
          <w:sz w:val="32"/>
          <w:szCs w:val="32"/>
          <w:lang w:val="en-US" w:eastAsia="zh-CN"/>
        </w:rPr>
        <w:t>，其中：授予小微企业合同金额</w:t>
      </w:r>
      <w:r>
        <w:rPr>
          <w:rFonts w:hint="eastAsia" w:ascii="Times New Roman" w:hAnsi="Times New Roman" w:eastAsia="仿宋_GB2312" w:cs="Times New Roman"/>
          <w:b w:val="0"/>
          <w:bCs w:val="0"/>
          <w:sz w:val="32"/>
          <w:szCs w:val="32"/>
          <w:lang w:val="en-US" w:eastAsia="zh-CN"/>
        </w:rPr>
        <w:t>3.8万</w:t>
      </w:r>
      <w:r>
        <w:rPr>
          <w:rFonts w:hint="eastAsia" w:ascii="仿宋_GB2312" w:hAnsi="仿宋_GB2312" w:eastAsia="仿宋_GB2312" w:cs="仿宋_GB2312"/>
          <w:b w:val="0"/>
          <w:bCs w:val="0"/>
          <w:sz w:val="32"/>
          <w:szCs w:val="32"/>
          <w:lang w:val="en-US" w:eastAsia="zh-CN"/>
        </w:rPr>
        <w:t>元，占政府采购支出总额的</w:t>
      </w:r>
      <w:r>
        <w:rPr>
          <w:rFonts w:hint="eastAsia" w:ascii="Times New Roman" w:hAnsi="Times New Roman" w:eastAsia="仿宋_GB2312" w:cs="Times New Roman"/>
          <w:b w:val="0"/>
          <w:bCs w:val="0"/>
          <w:sz w:val="32"/>
          <w:szCs w:val="32"/>
          <w:lang w:val="en-US" w:eastAsia="zh-CN"/>
        </w:rPr>
        <w:t>25.47%</w:t>
      </w:r>
      <w:r>
        <w:rPr>
          <w:rFonts w:hint="eastAsia" w:ascii="仿宋_GB2312" w:hAnsi="仿宋_GB2312" w:eastAsia="仿宋_GB2312" w:cs="仿宋_GB2312"/>
          <w:b w:val="0"/>
          <w:bCs w:val="0"/>
          <w:sz w:val="32"/>
          <w:szCs w:val="32"/>
          <w:lang w:val="en-US" w:eastAsia="zh-CN"/>
        </w:rPr>
        <w:t>。</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rPr>
        <w:t>十二、关于国有资产占用情况说明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截至</w:t>
      </w: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w:t>
      </w:r>
      <w:r>
        <w:rPr>
          <w:rFonts w:hint="default" w:ascii="Times New Roman" w:hAnsi="Times New Roman" w:eastAsia="仿宋_GB2312" w:cs="Times New Roman"/>
          <w:b w:val="0"/>
          <w:bCs w:val="0"/>
          <w:sz w:val="32"/>
          <w:szCs w:val="32"/>
        </w:rPr>
        <w:t>12</w:t>
      </w:r>
      <w:r>
        <w:rPr>
          <w:rFonts w:hint="eastAsia" w:ascii="仿宋_GB2312" w:hAnsi="仿宋_GB2312" w:eastAsia="仿宋_GB2312" w:cs="仿宋_GB2312"/>
          <w:b w:val="0"/>
          <w:bCs w:val="0"/>
          <w:sz w:val="32"/>
          <w:szCs w:val="32"/>
        </w:rPr>
        <w:t>月</w:t>
      </w:r>
      <w:r>
        <w:rPr>
          <w:rFonts w:hint="default" w:ascii="Times New Roman" w:hAnsi="Times New Roman" w:eastAsia="仿宋_GB2312" w:cs="Times New Roman"/>
          <w:b w:val="0"/>
          <w:bCs w:val="0"/>
          <w:sz w:val="32"/>
          <w:szCs w:val="32"/>
        </w:rPr>
        <w:t>31</w:t>
      </w:r>
      <w:r>
        <w:rPr>
          <w:rFonts w:hint="eastAsia" w:ascii="仿宋_GB2312" w:hAnsi="仿宋_GB2312" w:eastAsia="仿宋_GB2312" w:cs="仿宋_GB2312"/>
          <w:b w:val="0"/>
          <w:bCs w:val="0"/>
          <w:sz w:val="32"/>
          <w:szCs w:val="32"/>
        </w:rPr>
        <w:t>日，本单位</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车辆，</w:t>
      </w:r>
      <w:r>
        <w:rPr>
          <w:rFonts w:hint="eastAsia" w:ascii="仿宋_GB2312" w:hAnsi="仿宋_GB2312" w:eastAsia="仿宋_GB2312" w:cs="仿宋_GB2312"/>
          <w:b w:val="0"/>
          <w:bCs w:val="0"/>
          <w:sz w:val="32"/>
          <w:szCs w:val="32"/>
          <w:lang w:eastAsia="zh-CN"/>
        </w:rPr>
        <w:t>无单位</w:t>
      </w:r>
      <w:r>
        <w:rPr>
          <w:rFonts w:hint="eastAsia" w:ascii="仿宋_GB2312" w:hAnsi="仿宋_GB2312" w:eastAsia="仿宋_GB2312" w:cs="仿宋_GB2312"/>
          <w:b w:val="0"/>
          <w:bCs w:val="0"/>
          <w:sz w:val="32"/>
          <w:szCs w:val="32"/>
        </w:rPr>
        <w:t>价值</w:t>
      </w:r>
      <w:r>
        <w:rPr>
          <w:rFonts w:hint="default" w:ascii="Times New Roman" w:hAnsi="Times New Roman" w:eastAsia="仿宋_GB2312" w:cs="Times New Roman"/>
          <w:b w:val="0"/>
          <w:bCs w:val="0"/>
          <w:sz w:val="32"/>
          <w:szCs w:val="32"/>
        </w:rPr>
        <w:t>50</w:t>
      </w:r>
      <w:r>
        <w:rPr>
          <w:rFonts w:hint="eastAsia" w:ascii="仿宋_GB2312" w:hAnsi="仿宋_GB2312" w:eastAsia="仿宋_GB2312" w:cs="仿宋_GB2312"/>
          <w:b w:val="0"/>
          <w:bCs w:val="0"/>
          <w:sz w:val="32"/>
          <w:szCs w:val="32"/>
        </w:rPr>
        <w:t>万元以上通用设备</w:t>
      </w: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b w:val="0"/>
          <w:bCs w:val="0"/>
          <w:sz w:val="32"/>
          <w:szCs w:val="32"/>
        </w:rPr>
        <w:t>单位价值</w:t>
      </w:r>
      <w:r>
        <w:rPr>
          <w:rFonts w:hint="default" w:ascii="Times New Roman" w:hAnsi="Times New Roman" w:eastAsia="仿宋_GB2312" w:cs="Times New Roman"/>
          <w:b w:val="0"/>
          <w:bCs w:val="0"/>
          <w:sz w:val="32"/>
          <w:szCs w:val="32"/>
        </w:rPr>
        <w:t>100</w:t>
      </w:r>
      <w:r>
        <w:rPr>
          <w:rFonts w:hint="eastAsia" w:ascii="仿宋_GB2312" w:hAnsi="仿宋_GB2312" w:eastAsia="仿宋_GB2312" w:cs="仿宋_GB2312"/>
          <w:b w:val="0"/>
          <w:bCs w:val="0"/>
          <w:sz w:val="32"/>
          <w:szCs w:val="32"/>
        </w:rPr>
        <w:t>万元以上专用设备。</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Ansi="黑体"/>
          <w:b w:val="0"/>
          <w:bCs w:val="0"/>
          <w:sz w:val="32"/>
          <w:szCs w:val="32"/>
          <w:highlight w:val="none"/>
        </w:rPr>
      </w:pPr>
      <w:r>
        <w:rPr>
          <w:rFonts w:hint="eastAsia" w:hAnsi="黑体"/>
          <w:b w:val="0"/>
          <w:bCs w:val="0"/>
          <w:sz w:val="32"/>
          <w:szCs w:val="32"/>
        </w:rPr>
        <w:t>十三、关于</w:t>
      </w:r>
      <w:r>
        <w:rPr>
          <w:rFonts w:hint="default" w:hAnsi="黑体"/>
          <w:b w:val="0"/>
          <w:bCs w:val="0"/>
          <w:sz w:val="32"/>
          <w:szCs w:val="32"/>
        </w:rPr>
        <w:t>202</w:t>
      </w:r>
      <w:r>
        <w:rPr>
          <w:rFonts w:hint="eastAsia" w:hAnsi="黑体"/>
          <w:b w:val="0"/>
          <w:bCs w:val="0"/>
          <w:sz w:val="32"/>
          <w:szCs w:val="32"/>
          <w:lang w:val="en-US" w:eastAsia="zh-CN"/>
        </w:rPr>
        <w:t>1</w:t>
      </w:r>
      <w:r>
        <w:rPr>
          <w:rFonts w:hint="eastAsia" w:hAnsi="黑体"/>
          <w:b w:val="0"/>
          <w:bCs w:val="0"/>
          <w:sz w:val="32"/>
          <w:szCs w:val="32"/>
        </w:rPr>
        <w:t>年度预算绩效情况的说明</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我中心严格按照《湖南省财政厅关于开展</w:t>
      </w:r>
      <w:r>
        <w:rPr>
          <w:rFonts w:hint="default" w:ascii="Times New Roman" w:hAnsi="Times New Roman" w:eastAsia="仿宋_GB2312" w:cs="Times New Roman"/>
          <w:b w:val="0"/>
          <w:bCs w:val="0"/>
          <w:sz w:val="32"/>
          <w:szCs w:val="32"/>
          <w:lang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eastAsia="zh-CN"/>
        </w:rPr>
        <w:t>年度部门绩效自评工作的通知》（湘财绩〔</w:t>
      </w:r>
      <w:r>
        <w:rPr>
          <w:rFonts w:hint="default" w:ascii="Times New Roman" w:hAnsi="Times New Roman" w:eastAsia="仿宋_GB2312" w:cs="Times New Roman"/>
          <w:b w:val="0"/>
          <w:bCs w:val="0"/>
          <w:sz w:val="32"/>
          <w:szCs w:val="32"/>
          <w:lang w:val="en-US" w:eastAsia="zh-CN"/>
        </w:rPr>
        <w:t>2021</w:t>
      </w:r>
      <w:r>
        <w:rPr>
          <w:rFonts w:hint="eastAsia" w:ascii="仿宋_GB2312" w:hAnsi="仿宋_GB2312" w:eastAsia="仿宋_GB2312" w:cs="仿宋_GB2312"/>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号）要求，开展了</w:t>
      </w:r>
      <w:r>
        <w:rPr>
          <w:rFonts w:hint="default" w:ascii="Times New Roman" w:hAnsi="Times New Roman" w:eastAsia="仿宋_GB2312" w:cs="Times New Roman"/>
          <w:b w:val="0"/>
          <w:bCs w:val="0"/>
          <w:sz w:val="32"/>
          <w:szCs w:val="32"/>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年度部门整体支出绩效自评工作。</w:t>
      </w: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both"/>
        <w:rPr>
          <w:b w:val="0"/>
          <w:bCs w:val="0"/>
          <w:sz w:val="72"/>
          <w:szCs w:val="72"/>
        </w:rPr>
      </w:pPr>
    </w:p>
    <w:p>
      <w:pPr>
        <w:pStyle w:val="10"/>
        <w:jc w:val="center"/>
        <w:rPr>
          <w:b w:val="0"/>
          <w:bCs w:val="0"/>
          <w:sz w:val="72"/>
          <w:szCs w:val="72"/>
        </w:rPr>
      </w:pPr>
    </w:p>
    <w:p>
      <w:pPr>
        <w:pStyle w:val="10"/>
        <w:jc w:val="both"/>
        <w:rPr>
          <w:b w:val="0"/>
          <w:bCs w:val="0"/>
          <w:sz w:val="72"/>
          <w:szCs w:val="72"/>
        </w:rPr>
      </w:pPr>
    </w:p>
    <w:p>
      <w:pPr>
        <w:pStyle w:val="10"/>
        <w:jc w:val="center"/>
        <w:rPr>
          <w:rFonts w:hint="eastAsia"/>
          <w:sz w:val="72"/>
          <w:szCs w:val="72"/>
        </w:rPr>
      </w:pPr>
      <w:r>
        <w:rPr>
          <w:rFonts w:hint="eastAsia"/>
          <w:sz w:val="72"/>
          <w:szCs w:val="72"/>
        </w:rPr>
        <w:t>第四部分</w:t>
      </w:r>
    </w:p>
    <w:p>
      <w:pPr>
        <w:pStyle w:val="10"/>
        <w:jc w:val="center"/>
        <w:rPr>
          <w:rFonts w:hint="eastAsia"/>
          <w:sz w:val="72"/>
          <w:szCs w:val="72"/>
        </w:rPr>
      </w:pPr>
    </w:p>
    <w:p>
      <w:pPr>
        <w:pStyle w:val="10"/>
        <w:jc w:val="center"/>
        <w:rPr>
          <w:rFonts w:hint="eastAsia"/>
          <w:sz w:val="72"/>
          <w:szCs w:val="72"/>
        </w:rPr>
      </w:pPr>
      <w:r>
        <w:rPr>
          <w:rFonts w:hint="eastAsia"/>
          <w:sz w:val="72"/>
          <w:szCs w:val="72"/>
        </w:rPr>
        <w:t>名词解释</w:t>
      </w:r>
    </w:p>
    <w:p>
      <w:pPr>
        <w:widowControl/>
        <w:jc w:val="left"/>
        <w:rPr>
          <w:rFonts w:cs="黑体" w:asciiTheme="minorEastAsia" w:hAnsiTheme="minorEastAsia"/>
          <w:b w:val="0"/>
          <w:bCs w:val="0"/>
          <w:color w:val="000000"/>
          <w:kern w:val="0"/>
          <w:sz w:val="32"/>
          <w:szCs w:val="32"/>
        </w:rPr>
      </w:pPr>
      <w:r>
        <w:rPr>
          <w:rFonts w:ascii="黑体" w:eastAsia="黑体" w:cs="黑体"/>
          <w:b w:val="0"/>
          <w:bCs w:val="0"/>
          <w:color w:val="000000"/>
          <w:kern w:val="0"/>
          <w:sz w:val="70"/>
          <w:szCs w:val="70"/>
        </w:rPr>
        <w:br w:type="page"/>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rPr>
        <w:t>一、机关运行经费</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保障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rPr>
        <w:t>二、“三公”经费</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纳入省财政预算管理的“三公“经费,是指用一般公共预算拨款安排的公务接待费、公务用车购置及运行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both"/>
        <w:rPr>
          <w:b w:val="0"/>
          <w:bCs w:val="0"/>
          <w:sz w:val="72"/>
          <w:szCs w:val="72"/>
        </w:rPr>
      </w:pPr>
    </w:p>
    <w:p>
      <w:pPr>
        <w:pStyle w:val="10"/>
        <w:jc w:val="center"/>
        <w:rPr>
          <w:b w:val="0"/>
          <w:bCs w:val="0"/>
          <w:sz w:val="72"/>
          <w:szCs w:val="72"/>
        </w:rPr>
      </w:pPr>
    </w:p>
    <w:p>
      <w:pPr>
        <w:pStyle w:val="10"/>
        <w:jc w:val="center"/>
        <w:rPr>
          <w:b w:val="0"/>
          <w:bCs w:val="0"/>
          <w:sz w:val="72"/>
          <w:szCs w:val="72"/>
        </w:rPr>
      </w:pPr>
    </w:p>
    <w:p>
      <w:pPr>
        <w:pStyle w:val="10"/>
        <w:jc w:val="center"/>
        <w:rPr>
          <w:b w:val="0"/>
          <w:bCs w:val="0"/>
          <w:sz w:val="84"/>
          <w:szCs w:val="84"/>
        </w:rPr>
      </w:pPr>
    </w:p>
    <w:p>
      <w:pPr>
        <w:pStyle w:val="10"/>
        <w:jc w:val="center"/>
        <w:rPr>
          <w:rFonts w:hint="eastAsia"/>
          <w:sz w:val="72"/>
          <w:szCs w:val="72"/>
        </w:rPr>
      </w:pPr>
      <w:r>
        <w:rPr>
          <w:rFonts w:hint="eastAsia"/>
          <w:sz w:val="72"/>
          <w:szCs w:val="72"/>
        </w:rPr>
        <w:t>第五部分</w:t>
      </w:r>
    </w:p>
    <w:p>
      <w:pPr>
        <w:pStyle w:val="10"/>
        <w:jc w:val="center"/>
        <w:rPr>
          <w:rFonts w:hint="eastAsia"/>
          <w:sz w:val="72"/>
          <w:szCs w:val="72"/>
        </w:rPr>
      </w:pPr>
    </w:p>
    <w:p>
      <w:pPr>
        <w:pStyle w:val="10"/>
        <w:jc w:val="center"/>
        <w:rPr>
          <w:rFonts w:hint="eastAsia"/>
          <w:sz w:val="72"/>
          <w:szCs w:val="72"/>
        </w:rPr>
      </w:pPr>
      <w:r>
        <w:rPr>
          <w:rFonts w:hint="eastAsia"/>
          <w:sz w:val="72"/>
          <w:szCs w:val="72"/>
        </w:rPr>
        <w:t>附件</w:t>
      </w:r>
    </w:p>
    <w:p>
      <w:pPr>
        <w:widowControl/>
        <w:jc w:val="left"/>
        <w:rPr>
          <w:rFonts w:ascii="黑体" w:eastAsia="黑体" w:cs="黑体"/>
          <w:b w:val="0"/>
          <w:bCs w:val="0"/>
          <w:color w:val="000000"/>
          <w:kern w:val="0"/>
          <w:sz w:val="70"/>
          <w:szCs w:val="70"/>
        </w:rPr>
      </w:pPr>
      <w:r>
        <w:rPr>
          <w:rFonts w:ascii="黑体" w:eastAsia="黑体" w:cs="黑体"/>
          <w:b w:val="0"/>
          <w:bCs w:val="0"/>
          <w:color w:val="000000"/>
          <w:kern w:val="0"/>
          <w:sz w:val="70"/>
          <w:szCs w:val="70"/>
        </w:rPr>
        <w:br w:type="page"/>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lang w:val="en-US" w:eastAsia="zh-CN"/>
        </w:rPr>
        <w:t>1、</w:t>
      </w:r>
      <w:r>
        <w:rPr>
          <w:rFonts w:hint="eastAsia" w:hAnsi="黑体"/>
          <w:b w:val="0"/>
          <w:bCs w:val="0"/>
          <w:sz w:val="32"/>
          <w:szCs w:val="32"/>
        </w:rPr>
        <w:t>202</w:t>
      </w:r>
      <w:r>
        <w:rPr>
          <w:rFonts w:hint="eastAsia" w:hAnsi="黑体"/>
          <w:b w:val="0"/>
          <w:bCs w:val="0"/>
          <w:sz w:val="32"/>
          <w:szCs w:val="32"/>
          <w:lang w:val="en-US" w:eastAsia="zh-CN"/>
        </w:rPr>
        <w:t>1</w:t>
      </w:r>
      <w:r>
        <w:rPr>
          <w:rFonts w:hint="eastAsia" w:hAnsi="黑体"/>
          <w:b w:val="0"/>
          <w:bCs w:val="0"/>
          <w:sz w:val="32"/>
          <w:szCs w:val="32"/>
        </w:rPr>
        <w:t>年度部门整体支出绩效评价报告</w:t>
      </w:r>
    </w:p>
    <w:p>
      <w:pPr>
        <w:pStyle w:val="10"/>
        <w:keepNext w:val="0"/>
        <w:keepLines w:val="0"/>
        <w:pageBreakBefore w:val="0"/>
        <w:widowControl w:val="0"/>
        <w:kinsoku/>
        <w:wordWrap/>
        <w:overflowPunct/>
        <w:topLinePunct w:val="0"/>
        <w:autoSpaceDE w:val="0"/>
        <w:autoSpaceDN w:val="0"/>
        <w:bidi w:val="0"/>
        <w:adjustRightInd w:val="0"/>
        <w:snapToGrid/>
        <w:spacing w:line="592" w:lineRule="exact"/>
        <w:ind w:left="0" w:leftChars="0" w:right="0" w:rightChars="0" w:firstLine="640" w:firstLineChars="200"/>
        <w:jc w:val="left"/>
        <w:textAlignment w:val="auto"/>
        <w:outlineLvl w:val="9"/>
        <w:rPr>
          <w:rFonts w:hint="eastAsia" w:hAnsi="黑体"/>
          <w:b w:val="0"/>
          <w:bCs w:val="0"/>
          <w:sz w:val="32"/>
          <w:szCs w:val="32"/>
        </w:rPr>
      </w:pPr>
      <w:r>
        <w:rPr>
          <w:rFonts w:hint="eastAsia" w:hAnsi="黑体"/>
          <w:b w:val="0"/>
          <w:bCs w:val="0"/>
          <w:sz w:val="32"/>
          <w:szCs w:val="32"/>
          <w:lang w:val="en-US" w:eastAsia="zh-CN"/>
        </w:rPr>
        <w:t>1-1、</w:t>
      </w:r>
      <w:r>
        <w:rPr>
          <w:rFonts w:hint="eastAsia" w:hAnsi="黑体"/>
          <w:b w:val="0"/>
          <w:bCs w:val="0"/>
          <w:sz w:val="32"/>
          <w:szCs w:val="32"/>
        </w:rPr>
        <w:t>202</w:t>
      </w:r>
      <w:r>
        <w:rPr>
          <w:rFonts w:hint="eastAsia" w:hAnsi="黑体"/>
          <w:b w:val="0"/>
          <w:bCs w:val="0"/>
          <w:sz w:val="32"/>
          <w:szCs w:val="32"/>
          <w:lang w:val="en-US" w:eastAsia="zh-CN"/>
        </w:rPr>
        <w:t>1</w:t>
      </w:r>
      <w:r>
        <w:rPr>
          <w:rFonts w:hint="eastAsia" w:hAnsi="黑体"/>
          <w:b w:val="0"/>
          <w:bCs w:val="0"/>
          <w:sz w:val="32"/>
          <w:szCs w:val="32"/>
        </w:rPr>
        <w:t>年度绩效评价表</w:t>
      </w:r>
    </w:p>
    <w:sectPr>
      <w:pgSz w:w="11906" w:h="16838"/>
      <w:pgMar w:top="1984" w:right="1417" w:bottom="1814"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8775C"/>
    <w:multiLevelType w:val="singleLevel"/>
    <w:tmpl w:val="6138775C"/>
    <w:lvl w:ilvl="0" w:tentative="0">
      <w:start w:val="1"/>
      <w:numFmt w:val="decimal"/>
      <w:suff w:val="nothing"/>
      <w:lvlText w:val="%1、"/>
      <w:lvlJc w:val="left"/>
      <w:rPr>
        <w:rFonts w:hint="default"/>
        <w:color w:val="auto"/>
      </w:rPr>
    </w:lvl>
  </w:abstractNum>
  <w:abstractNum w:abstractNumId="1">
    <w:nsid w:val="6139E15D"/>
    <w:multiLevelType w:val="singleLevel"/>
    <w:tmpl w:val="6139E15D"/>
    <w:lvl w:ilvl="0" w:tentative="0">
      <w:start w:val="2"/>
      <w:numFmt w:val="chineseCounting"/>
      <w:suff w:val="nothing"/>
      <w:lvlText w:val="（%1）"/>
      <w:lvlJc w:val="left"/>
    </w:lvl>
  </w:abstractNum>
  <w:abstractNum w:abstractNumId="2">
    <w:nsid w:val="6139E5D5"/>
    <w:multiLevelType w:val="singleLevel"/>
    <w:tmpl w:val="6139E5D5"/>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Mjk1MDE4ZDQwZmY3ZTUxYzRiNjkwMjMxOGU0Y2Y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4F0180"/>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A61B7"/>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1144A10"/>
    <w:rsid w:val="019B5FA9"/>
    <w:rsid w:val="026D7AAD"/>
    <w:rsid w:val="03C24947"/>
    <w:rsid w:val="03D410A6"/>
    <w:rsid w:val="03E638AC"/>
    <w:rsid w:val="052A4AFA"/>
    <w:rsid w:val="059A138A"/>
    <w:rsid w:val="059B553A"/>
    <w:rsid w:val="05A30A30"/>
    <w:rsid w:val="06AF1B31"/>
    <w:rsid w:val="06C21C7C"/>
    <w:rsid w:val="07583295"/>
    <w:rsid w:val="078F7C7E"/>
    <w:rsid w:val="07DC0503"/>
    <w:rsid w:val="07EE1D97"/>
    <w:rsid w:val="091705F6"/>
    <w:rsid w:val="094031BE"/>
    <w:rsid w:val="097B5604"/>
    <w:rsid w:val="0A727263"/>
    <w:rsid w:val="0B396F68"/>
    <w:rsid w:val="0B714958"/>
    <w:rsid w:val="0B906A39"/>
    <w:rsid w:val="0BF44970"/>
    <w:rsid w:val="0C1A54F7"/>
    <w:rsid w:val="0CCE3A95"/>
    <w:rsid w:val="0D522F8B"/>
    <w:rsid w:val="0DFE460E"/>
    <w:rsid w:val="0E192738"/>
    <w:rsid w:val="0E407DE8"/>
    <w:rsid w:val="0E631F02"/>
    <w:rsid w:val="0EB4247E"/>
    <w:rsid w:val="0EFC7E25"/>
    <w:rsid w:val="0F447C5B"/>
    <w:rsid w:val="10102F74"/>
    <w:rsid w:val="10367123"/>
    <w:rsid w:val="10A6616B"/>
    <w:rsid w:val="10B11EB9"/>
    <w:rsid w:val="10F22D5C"/>
    <w:rsid w:val="11671BF0"/>
    <w:rsid w:val="11D21196"/>
    <w:rsid w:val="131D41C7"/>
    <w:rsid w:val="132B0EE2"/>
    <w:rsid w:val="13575E66"/>
    <w:rsid w:val="13E4036C"/>
    <w:rsid w:val="14004D7B"/>
    <w:rsid w:val="14131FD0"/>
    <w:rsid w:val="144A5400"/>
    <w:rsid w:val="149D35C0"/>
    <w:rsid w:val="14A979BF"/>
    <w:rsid w:val="14BC497A"/>
    <w:rsid w:val="14C50DFF"/>
    <w:rsid w:val="14FF1766"/>
    <w:rsid w:val="15182238"/>
    <w:rsid w:val="153F5218"/>
    <w:rsid w:val="15BD292D"/>
    <w:rsid w:val="160F40C3"/>
    <w:rsid w:val="164308BD"/>
    <w:rsid w:val="1648441B"/>
    <w:rsid w:val="165A1088"/>
    <w:rsid w:val="169333F0"/>
    <w:rsid w:val="16DA004D"/>
    <w:rsid w:val="16EC17AC"/>
    <w:rsid w:val="179246B6"/>
    <w:rsid w:val="17A82C30"/>
    <w:rsid w:val="17AF383C"/>
    <w:rsid w:val="180908C1"/>
    <w:rsid w:val="18B53F9D"/>
    <w:rsid w:val="196379B2"/>
    <w:rsid w:val="19762E8E"/>
    <w:rsid w:val="198D5336"/>
    <w:rsid w:val="1A1C7225"/>
    <w:rsid w:val="1AE73D33"/>
    <w:rsid w:val="1B4B3D85"/>
    <w:rsid w:val="1B9B0CFB"/>
    <w:rsid w:val="1BBC348D"/>
    <w:rsid w:val="1BD967E0"/>
    <w:rsid w:val="1C293045"/>
    <w:rsid w:val="1C392A62"/>
    <w:rsid w:val="1D794BC6"/>
    <w:rsid w:val="1D7C7CE3"/>
    <w:rsid w:val="1E047FEB"/>
    <w:rsid w:val="1FA751D4"/>
    <w:rsid w:val="2050506B"/>
    <w:rsid w:val="20D30906"/>
    <w:rsid w:val="211D2029"/>
    <w:rsid w:val="214E0F71"/>
    <w:rsid w:val="21FE32EB"/>
    <w:rsid w:val="227B384E"/>
    <w:rsid w:val="22E76170"/>
    <w:rsid w:val="23124014"/>
    <w:rsid w:val="23694EDF"/>
    <w:rsid w:val="244A74F5"/>
    <w:rsid w:val="24F95BDF"/>
    <w:rsid w:val="26440A12"/>
    <w:rsid w:val="268F5AC4"/>
    <w:rsid w:val="272F6460"/>
    <w:rsid w:val="27F95F38"/>
    <w:rsid w:val="28164FB7"/>
    <w:rsid w:val="285C791B"/>
    <w:rsid w:val="28793D8C"/>
    <w:rsid w:val="289A5B53"/>
    <w:rsid w:val="293B21C4"/>
    <w:rsid w:val="295063DE"/>
    <w:rsid w:val="29770DFC"/>
    <w:rsid w:val="2A242B5E"/>
    <w:rsid w:val="2A713427"/>
    <w:rsid w:val="2A85134F"/>
    <w:rsid w:val="2AE40D00"/>
    <w:rsid w:val="2B110D55"/>
    <w:rsid w:val="2B17463D"/>
    <w:rsid w:val="2B5C4FAB"/>
    <w:rsid w:val="2BB21CF5"/>
    <w:rsid w:val="2CD46144"/>
    <w:rsid w:val="2D047A30"/>
    <w:rsid w:val="2D164979"/>
    <w:rsid w:val="2D953D4C"/>
    <w:rsid w:val="2E552AFE"/>
    <w:rsid w:val="2F0338CF"/>
    <w:rsid w:val="2F17722F"/>
    <w:rsid w:val="2FA66744"/>
    <w:rsid w:val="2FF41B74"/>
    <w:rsid w:val="303533D0"/>
    <w:rsid w:val="308B5260"/>
    <w:rsid w:val="30C15F07"/>
    <w:rsid w:val="30D941A6"/>
    <w:rsid w:val="31310884"/>
    <w:rsid w:val="31BA789E"/>
    <w:rsid w:val="32051287"/>
    <w:rsid w:val="320A5B5D"/>
    <w:rsid w:val="327570E3"/>
    <w:rsid w:val="328A713C"/>
    <w:rsid w:val="329D4AB1"/>
    <w:rsid w:val="32AF78D7"/>
    <w:rsid w:val="331B2C1D"/>
    <w:rsid w:val="33B56547"/>
    <w:rsid w:val="34417362"/>
    <w:rsid w:val="34EF1CCD"/>
    <w:rsid w:val="34F85FE0"/>
    <w:rsid w:val="35190D84"/>
    <w:rsid w:val="36174C78"/>
    <w:rsid w:val="363B0617"/>
    <w:rsid w:val="3681501F"/>
    <w:rsid w:val="36E232F9"/>
    <w:rsid w:val="36F1253C"/>
    <w:rsid w:val="37475399"/>
    <w:rsid w:val="3777034A"/>
    <w:rsid w:val="37895EFD"/>
    <w:rsid w:val="38A07FD8"/>
    <w:rsid w:val="38A175F7"/>
    <w:rsid w:val="38AF1089"/>
    <w:rsid w:val="38C35BC0"/>
    <w:rsid w:val="38FA620C"/>
    <w:rsid w:val="392E2F3E"/>
    <w:rsid w:val="39597715"/>
    <w:rsid w:val="396432C3"/>
    <w:rsid w:val="39951231"/>
    <w:rsid w:val="39B63F65"/>
    <w:rsid w:val="3A195651"/>
    <w:rsid w:val="3A1F3FCC"/>
    <w:rsid w:val="3B0A1D1E"/>
    <w:rsid w:val="3BF250F5"/>
    <w:rsid w:val="3BF26181"/>
    <w:rsid w:val="3C296A60"/>
    <w:rsid w:val="3CED1EE6"/>
    <w:rsid w:val="3CFD4763"/>
    <w:rsid w:val="3D05028C"/>
    <w:rsid w:val="3D126F4F"/>
    <w:rsid w:val="3D614D4A"/>
    <w:rsid w:val="3F0B56BB"/>
    <w:rsid w:val="3F474354"/>
    <w:rsid w:val="3F673846"/>
    <w:rsid w:val="3F791565"/>
    <w:rsid w:val="40790A6A"/>
    <w:rsid w:val="40BF3080"/>
    <w:rsid w:val="40DC6762"/>
    <w:rsid w:val="41AF37BD"/>
    <w:rsid w:val="42132B5A"/>
    <w:rsid w:val="422904BD"/>
    <w:rsid w:val="428D3AF6"/>
    <w:rsid w:val="42BF63BF"/>
    <w:rsid w:val="42EB1C2A"/>
    <w:rsid w:val="430A4551"/>
    <w:rsid w:val="4339257E"/>
    <w:rsid w:val="43B53806"/>
    <w:rsid w:val="444547D2"/>
    <w:rsid w:val="447367BB"/>
    <w:rsid w:val="44A23934"/>
    <w:rsid w:val="468F732E"/>
    <w:rsid w:val="47E772CB"/>
    <w:rsid w:val="48173690"/>
    <w:rsid w:val="4843334E"/>
    <w:rsid w:val="48BD6FAD"/>
    <w:rsid w:val="495D69EA"/>
    <w:rsid w:val="49A63D4D"/>
    <w:rsid w:val="49C94FDA"/>
    <w:rsid w:val="49F831B5"/>
    <w:rsid w:val="4A7B7208"/>
    <w:rsid w:val="4BE51875"/>
    <w:rsid w:val="4C0B4B52"/>
    <w:rsid w:val="4C626C2F"/>
    <w:rsid w:val="4CE20AA1"/>
    <w:rsid w:val="4CEC2563"/>
    <w:rsid w:val="4CED04AF"/>
    <w:rsid w:val="4D5269EB"/>
    <w:rsid w:val="4D691CB2"/>
    <w:rsid w:val="4DF44A73"/>
    <w:rsid w:val="4E181FB8"/>
    <w:rsid w:val="4F023A35"/>
    <w:rsid w:val="4F161B36"/>
    <w:rsid w:val="4F54642D"/>
    <w:rsid w:val="50823868"/>
    <w:rsid w:val="5123291C"/>
    <w:rsid w:val="51E62CB3"/>
    <w:rsid w:val="53787F77"/>
    <w:rsid w:val="537B1F46"/>
    <w:rsid w:val="53B41D00"/>
    <w:rsid w:val="5414473A"/>
    <w:rsid w:val="54B86C60"/>
    <w:rsid w:val="54C51795"/>
    <w:rsid w:val="54ED2C99"/>
    <w:rsid w:val="55E24121"/>
    <w:rsid w:val="569A257F"/>
    <w:rsid w:val="56F331C2"/>
    <w:rsid w:val="577D3941"/>
    <w:rsid w:val="583220AE"/>
    <w:rsid w:val="58422A57"/>
    <w:rsid w:val="58987D59"/>
    <w:rsid w:val="59123E64"/>
    <w:rsid w:val="59194D71"/>
    <w:rsid w:val="59D70498"/>
    <w:rsid w:val="5A964F3A"/>
    <w:rsid w:val="5C4D49F9"/>
    <w:rsid w:val="5C4E7C6B"/>
    <w:rsid w:val="5C5872CD"/>
    <w:rsid w:val="5C9C615A"/>
    <w:rsid w:val="5D1107FE"/>
    <w:rsid w:val="5E0D5DFA"/>
    <w:rsid w:val="5E314200"/>
    <w:rsid w:val="5E790252"/>
    <w:rsid w:val="5F0E219F"/>
    <w:rsid w:val="5FA95C9E"/>
    <w:rsid w:val="5FDD07FF"/>
    <w:rsid w:val="60880A50"/>
    <w:rsid w:val="62055D89"/>
    <w:rsid w:val="62925E35"/>
    <w:rsid w:val="629307D0"/>
    <w:rsid w:val="629378BC"/>
    <w:rsid w:val="62BF59DB"/>
    <w:rsid w:val="62DF496F"/>
    <w:rsid w:val="638C4CD9"/>
    <w:rsid w:val="646A0640"/>
    <w:rsid w:val="65081A93"/>
    <w:rsid w:val="6604308E"/>
    <w:rsid w:val="676C536E"/>
    <w:rsid w:val="67DA4E30"/>
    <w:rsid w:val="681F19A6"/>
    <w:rsid w:val="69C03C09"/>
    <w:rsid w:val="6A61150D"/>
    <w:rsid w:val="6A7D2A33"/>
    <w:rsid w:val="6A9C2A7B"/>
    <w:rsid w:val="6B092778"/>
    <w:rsid w:val="6B0B7491"/>
    <w:rsid w:val="6B240293"/>
    <w:rsid w:val="6B6F031B"/>
    <w:rsid w:val="6B80006F"/>
    <w:rsid w:val="6B853169"/>
    <w:rsid w:val="6C0B64B6"/>
    <w:rsid w:val="6C696618"/>
    <w:rsid w:val="6C8C03CF"/>
    <w:rsid w:val="6C934A51"/>
    <w:rsid w:val="6CB5493E"/>
    <w:rsid w:val="6CC675F8"/>
    <w:rsid w:val="6CDE0542"/>
    <w:rsid w:val="6CF91965"/>
    <w:rsid w:val="6D217F65"/>
    <w:rsid w:val="6D9C62FA"/>
    <w:rsid w:val="6E7D647C"/>
    <w:rsid w:val="6F092A2B"/>
    <w:rsid w:val="6F9B67CD"/>
    <w:rsid w:val="6FEC019F"/>
    <w:rsid w:val="704112A8"/>
    <w:rsid w:val="70BC7C18"/>
    <w:rsid w:val="710772D8"/>
    <w:rsid w:val="71080743"/>
    <w:rsid w:val="713D1501"/>
    <w:rsid w:val="7151404C"/>
    <w:rsid w:val="720258DD"/>
    <w:rsid w:val="72027796"/>
    <w:rsid w:val="72404F47"/>
    <w:rsid w:val="724317C9"/>
    <w:rsid w:val="72597594"/>
    <w:rsid w:val="728012CC"/>
    <w:rsid w:val="72890CA8"/>
    <w:rsid w:val="72DB73BB"/>
    <w:rsid w:val="73626920"/>
    <w:rsid w:val="73806475"/>
    <w:rsid w:val="747B6ED0"/>
    <w:rsid w:val="74C23A26"/>
    <w:rsid w:val="74D01DFE"/>
    <w:rsid w:val="754922AC"/>
    <w:rsid w:val="75A42ECA"/>
    <w:rsid w:val="761E3703"/>
    <w:rsid w:val="76360D89"/>
    <w:rsid w:val="768D5630"/>
    <w:rsid w:val="76BC18FD"/>
    <w:rsid w:val="76DA0BA0"/>
    <w:rsid w:val="78E81497"/>
    <w:rsid w:val="79347F78"/>
    <w:rsid w:val="79551993"/>
    <w:rsid w:val="79D070F4"/>
    <w:rsid w:val="79DE2F42"/>
    <w:rsid w:val="7A1E16FE"/>
    <w:rsid w:val="7A3D4FC4"/>
    <w:rsid w:val="7B2D2318"/>
    <w:rsid w:val="7DAD3311"/>
    <w:rsid w:val="7E365568"/>
    <w:rsid w:val="7E3B780F"/>
    <w:rsid w:val="7F2878FB"/>
    <w:rsid w:val="7F5109CD"/>
    <w:rsid w:val="7F545497"/>
    <w:rsid w:val="7F6672FE"/>
    <w:rsid w:val="7FD27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5937</Words>
  <Characters>7109</Characters>
  <Lines>61</Lines>
  <Paragraphs>17</Paragraphs>
  <TotalTime>584</TotalTime>
  <ScaleCrop>false</ScaleCrop>
  <LinksUpToDate>false</LinksUpToDate>
  <CharactersWithSpaces>8490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1019</cp:lastModifiedBy>
  <cp:lastPrinted>2022-09-19T02:30:42Z</cp:lastPrinted>
  <dcterms:modified xsi:type="dcterms:W3CDTF">2022-09-19T05:10:46Z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47BB324526684E27A32A2BF2BD63AD66</vt:lpwstr>
  </property>
</Properties>
</file>