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2020年度</w:t>
      </w: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湖南省人事考试院部门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决算</w:t>
      </w: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rFonts w:hint="eastAsia"/>
          <w:sz w:val="32"/>
          <w:szCs w:val="32"/>
        </w:rPr>
      </w:pPr>
    </w:p>
    <w:p>
      <w:pPr>
        <w:pStyle w:val="11"/>
        <w:jc w:val="center"/>
        <w:rPr>
          <w:rFonts w:hint="eastAsia"/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spacing w:line="540" w:lineRule="exact"/>
        <w:jc w:val="center"/>
        <w:rPr>
          <w:sz w:val="56"/>
          <w:szCs w:val="56"/>
        </w:rPr>
      </w:pPr>
    </w:p>
    <w:p>
      <w:pPr>
        <w:pStyle w:val="11"/>
        <w:spacing w:line="500" w:lineRule="exact"/>
        <w:jc w:val="both"/>
        <w:rPr>
          <w:b/>
          <w:sz w:val="36"/>
          <w:szCs w:val="28"/>
        </w:rPr>
      </w:pPr>
    </w:p>
    <w:p>
      <w:pPr>
        <w:pStyle w:val="11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1"/>
        <w:spacing w:line="500" w:lineRule="exact"/>
        <w:rPr>
          <w:rFonts w:ascii="仿宋_GB2312" w:hAnsi="仿宋_GB2312" w:cs="仿宋_GB2312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第一部分</w:t>
      </w:r>
      <w:r>
        <w:rPr>
          <w:rFonts w:hint="eastAsia"/>
          <w:b/>
          <w:bCs w:val="0"/>
          <w:sz w:val="28"/>
          <w:szCs w:val="28"/>
          <w:lang w:eastAsia="zh-CN"/>
        </w:rPr>
        <w:t>湖南省人事考试院</w:t>
      </w:r>
      <w:r>
        <w:rPr>
          <w:rFonts w:hint="eastAsia"/>
          <w:b/>
          <w:bCs w:val="0"/>
          <w:sz w:val="28"/>
          <w:szCs w:val="28"/>
        </w:rPr>
        <w:t>概况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11"/>
        <w:spacing w:line="500" w:lineRule="exact"/>
        <w:rPr>
          <w:rFonts w:ascii="仿宋_GB2312" w:hAnsi="仿宋_GB2312" w:cs="仿宋_GB2312"/>
          <w:b/>
          <w:bCs w:val="0"/>
          <w:sz w:val="28"/>
          <w:szCs w:val="28"/>
        </w:rPr>
      </w:pPr>
      <w:r>
        <w:rPr>
          <w:rFonts w:hint="eastAsia" w:hAnsi="仿宋_GB2312"/>
          <w:b/>
          <w:bCs w:val="0"/>
          <w:sz w:val="28"/>
          <w:szCs w:val="28"/>
        </w:rPr>
        <w:t>第二部分</w:t>
      </w:r>
      <w:r>
        <w:rPr>
          <w:rFonts w:hAnsi="仿宋_GB2312"/>
          <w:b/>
          <w:bCs w:val="0"/>
          <w:sz w:val="28"/>
          <w:szCs w:val="28"/>
        </w:rPr>
        <w:t>20</w:t>
      </w:r>
      <w:r>
        <w:rPr>
          <w:rFonts w:hint="eastAsia" w:hAnsi="仿宋_GB2312"/>
          <w:b/>
          <w:bCs w:val="0"/>
          <w:sz w:val="28"/>
          <w:szCs w:val="28"/>
        </w:rPr>
        <w:t>20年度部门决算表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11"/>
        <w:spacing w:line="500" w:lineRule="exact"/>
        <w:rPr>
          <w:rFonts w:ascii="仿宋_GB2312" w:hAnsi="仿宋_GB2312" w:cs="仿宋_GB2312"/>
          <w:b/>
          <w:bCs w:val="0"/>
          <w:sz w:val="28"/>
          <w:szCs w:val="28"/>
        </w:rPr>
      </w:pPr>
      <w:r>
        <w:rPr>
          <w:rFonts w:hint="eastAsia" w:hAnsi="仿宋_GB2312"/>
          <w:b/>
          <w:bCs w:val="0"/>
          <w:sz w:val="28"/>
          <w:szCs w:val="28"/>
        </w:rPr>
        <w:t>第三部分</w:t>
      </w:r>
      <w:r>
        <w:rPr>
          <w:rFonts w:hAnsi="仿宋_GB2312"/>
          <w:b/>
          <w:bCs w:val="0"/>
          <w:sz w:val="28"/>
          <w:szCs w:val="28"/>
        </w:rPr>
        <w:t>20</w:t>
      </w:r>
      <w:r>
        <w:rPr>
          <w:rFonts w:hint="eastAsia" w:hAnsi="仿宋_GB2312"/>
          <w:b/>
          <w:bCs w:val="0"/>
          <w:sz w:val="28"/>
          <w:szCs w:val="28"/>
        </w:rPr>
        <w:t>20年度部门决算情况说明</w:t>
      </w:r>
    </w:p>
    <w:p>
      <w:pPr>
        <w:pStyle w:val="11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关于机关运行经费支出说明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十、一般性支出情况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十一、关于政府采购支出说明</w:t>
      </w:r>
    </w:p>
    <w:p>
      <w:pPr>
        <w:pStyle w:val="11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十二、关于国有资产占用情况说明</w:t>
      </w:r>
    </w:p>
    <w:p>
      <w:pPr>
        <w:pStyle w:val="11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十三、关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于2020年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度预算绩效情况的说明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黑体"/>
          <w:b/>
          <w:bCs w:val="0"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bCs w:val="0"/>
          <w:color w:val="000000"/>
          <w:kern w:val="0"/>
          <w:sz w:val="28"/>
          <w:szCs w:val="28"/>
        </w:rPr>
        <w:t>第四部分名词解释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第五部分附件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 xml:space="preserve">第一部分 </w:t>
      </w: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湖南省人事考试院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贯彻执行国家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省关于人事考试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的方针、政策和法规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协助省委组织部（省公务员局）做好公务员录用、公开遴选、公开选调等考试的考务组织工作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承担人力资源和社会保障部及国家、省有关部门下达的专业技术人员职（执）业资格考试的组织实施工作，受委托承担职业资格证书管理工作；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受委托开展事业单位公开招聘考试、人才测评和社会化服务考试工作；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组织实施全省人事考试信息化建设规划、人事考试信息系统开发及运行维护、基础设施建设及运行管理；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承担人事考试科研、人才评价技术的推广运用，开展国际间考试、人才测评业务的交流与合作；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承办厅里交办的其他工作。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二、机构设置及决算单位构成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（一）内设机构设置。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湖南省人事考试院内设有7个部门，分别为办公室、财务部、一部、二部、三部、信息技术部、科研部。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（二）决算单位构成。湖南省人事考试院2020年部门决算汇总公开单位构成为湖南省人事考试院本级。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both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pStyle w:val="2"/>
        <w:rPr>
          <w:rFonts w:hint="eastAsia"/>
          <w:sz w:val="72"/>
          <w:szCs w:val="72"/>
        </w:rPr>
      </w:pPr>
    </w:p>
    <w:p>
      <w:pPr>
        <w:pStyle w:val="2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第二部分</w:t>
      </w: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部门决算表</w:t>
      </w:r>
    </w:p>
    <w:p>
      <w:pPr>
        <w:pStyle w:val="11"/>
        <w:jc w:val="center"/>
        <w:rPr>
          <w:rFonts w:hint="eastAsia"/>
          <w:sz w:val="72"/>
          <w:szCs w:val="72"/>
          <w:lang w:eastAsia="zh-CN"/>
        </w:rPr>
      </w:pPr>
    </w:p>
    <w:p>
      <w:pPr>
        <w:pStyle w:val="11"/>
        <w:jc w:val="center"/>
        <w:rPr>
          <w:rFonts w:hint="eastAsia"/>
          <w:sz w:val="72"/>
          <w:szCs w:val="72"/>
          <w:lang w:eastAsia="zh-CN"/>
        </w:rPr>
      </w:pPr>
    </w:p>
    <w:p>
      <w:pPr>
        <w:pStyle w:val="11"/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</w:t>
      </w:r>
      <w:r>
        <w:rPr>
          <w:rFonts w:hint="eastAsia"/>
          <w:sz w:val="72"/>
          <w:szCs w:val="72"/>
          <w:lang w:val="en-US" w:eastAsia="zh-CN"/>
        </w:rPr>
        <w:t>1</w:t>
      </w:r>
      <w:r>
        <w:rPr>
          <w:rFonts w:hint="eastAsia"/>
          <w:sz w:val="72"/>
          <w:szCs w:val="72"/>
          <w:lang w:eastAsia="zh-CN"/>
        </w:rPr>
        <w:t>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both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1"/>
        <w:rPr>
          <w:sz w:val="72"/>
          <w:szCs w:val="72"/>
        </w:rPr>
      </w:pPr>
    </w:p>
    <w:p>
      <w:pPr>
        <w:pStyle w:val="11"/>
        <w:rPr>
          <w:sz w:val="72"/>
          <w:szCs w:val="72"/>
        </w:rPr>
      </w:pPr>
    </w:p>
    <w:p>
      <w:pPr>
        <w:pStyle w:val="11"/>
        <w:rPr>
          <w:sz w:val="72"/>
          <w:szCs w:val="72"/>
        </w:rPr>
      </w:pPr>
    </w:p>
    <w:p>
      <w:pPr>
        <w:pStyle w:val="11"/>
        <w:rPr>
          <w:sz w:val="72"/>
          <w:szCs w:val="72"/>
        </w:r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第三部分</w:t>
      </w: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pStyle w:val="11"/>
        <w:jc w:val="center"/>
        <w:rPr>
          <w:sz w:val="70"/>
          <w:szCs w:val="70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2020年度部门决算情况说明</w:t>
      </w:r>
    </w:p>
    <w:p>
      <w:pPr>
        <w:widowControl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sz w:val="70"/>
          <w:szCs w:val="70"/>
        </w:rPr>
        <w:br w:type="page"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jc w:val="both"/>
        <w:textAlignment w:val="auto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</w:t>
      </w:r>
      <w:r>
        <w:rPr>
          <w:rFonts w:hint="eastAsia" w:hAnsi="黑体"/>
          <w:b w:val="0"/>
          <w:bCs/>
          <w:sz w:val="32"/>
          <w:szCs w:val="32"/>
        </w:rPr>
        <w:t>收入支出决算总体情况说明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2020年度收、支总计2855.68万元。与上年相比，增加139.15万元，增长5.12%，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主要是因为因为考试项目新增以及疫情影响下报考人数增多，考试收费收入和考试防疫成本支出相应增加。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二、收入决算情况说明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2341.67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2341.45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99.99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三、支出决算情况说明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2720.64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1009.69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37.11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1710.95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62.89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2020年度财政拨款收、支总计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2855.46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因为考试项目新增以及疫情影响下报考人数增多，考试收费收入和考试防疫成本支出相应增加。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（一）财政拨款支出决算总体情况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2720.64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报考人数增多增加的考务成本，采购防疫物资、核酸检测、消杀等防疫费用。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（二）财政拨款支出决算结构情况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2720.64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1951.12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71.72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769.52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28.28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1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shd w:val="clear" w:color="auto" w:fill="auto"/>
        </w:rPr>
        <w:t>（三）财政拨款支出决算具体情况</w:t>
      </w:r>
    </w:p>
    <w:p>
      <w:pPr>
        <w:pStyle w:val="11"/>
        <w:ind w:firstLine="800" w:firstLineChars="2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2020年度财政拨款支出年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初预算数为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万元，支出决算数为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2720.64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万元，完成年初预算的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108.83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%，其中：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1、一般公共服务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（类）人力资源事务（款）其他人力资源支出（项）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</w:rPr>
        <w:t>年初预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算为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1918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1795.94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93.64%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，决算数小于年初预算数的主要原因是：工作计划调整,部分资金未形成支出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2、一般公共服务（类）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组织事务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一般行政管理事务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（项）。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155.17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决算数包含上年结余数和年中经费拨款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社会保障和就业支出（类）人力资源和社会保障管理事务（款）行政运行（项）。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582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万元，支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767.95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131.95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决算数包含上年结余数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和年中经费拨款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社会保障和就业支出（类）人力资源和社会保障管理事务（款）其他人力资源和社会保障管理事务（项）。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万元，决算数大于（小于）年初预算数的主要原因是：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决算数包含了上年结余数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社会保障和就业支出（类）民政管理事务（款）行政运行（项）。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决算数包含了上年结余数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1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1009.69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787.06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77.95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、绩效工资、机关事业单位基本养老保险缴费、职业年金缴费、职工基本医疗保险缴费、公务员医疗补助缴费、其他社会保障缴费、住房公积金、其他工资福利支出、退休费、生活补助、奖励金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22.05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水费、电费、邮电费、物业管理费、差旅费、维修（护）费、福利费、公务用车运行维护、其他交通费用。税金及附加费用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七、一般公共预算财政拨款三公经费支出决算情况说明</w:t>
      </w:r>
    </w:p>
    <w:p>
      <w:pPr>
        <w:pStyle w:val="11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（一）“三公”经费财政拨款支出决算总体情况说明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本年度无因公出国（境）安排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年中预算调整调减了该指标金额，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%，决算数小于预算数的主要原因是我单位认真贯彻落实中央八项规定、省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里相关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厉行节约从严控制公务接待费开支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公务用车购置费及运行维护费支出预算为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65.33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疫情影响下上半年考试停考，包括组织考试以及其他公务出行开支减少。</w:t>
      </w:r>
    </w:p>
    <w:p>
      <w:pPr>
        <w:pStyle w:val="11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（二）“三公”经费财政拨款支出决算具体情况说明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0.71</w:t>
      </w:r>
      <w:r>
        <w:rPr>
          <w:rFonts w:hint="eastAsia" w:ascii="仿宋_GB2312" w:hAnsi="仿宋_GB2312" w:eastAsia="仿宋_GB2312" w:cs="仿宋_GB2312"/>
          <w:sz w:val="32"/>
          <w:szCs w:val="32"/>
        </w:rPr>
        <w:t>%,因公出国（境）费支出决算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%,公务用车购置费及运行维护费支出决算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99.29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陪同人员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主要是外省市来人对接工作发生的接待支出。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业务用车组织考试与出行发生的燃料费、维修费、过路过桥费、保险费、安全奖励费用等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截止2020年12月31日，我单位开支财政拨款的公务用车保有量为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八、政府性基金预算收入支出决算情况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度本单位无政府性基金收支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九、关于机关运行经费支出说明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本部门2020年度机关运行经费支出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222.63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万元，比上年决算数减少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万元，降低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%。主要原因是：主要是落实“过紧日子”要求，会议费、培训费、办公费等一般性支出压减。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十、一般性支出情况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020年本部门开支会议费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万元，用于召开中直机关2021年度考试录用公务员笔试湖南考区考务工作部署会议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人，内容为安排部署湖南考区考务工作，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培训考务细则；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用于2020年度湖南省人事考试集中警示教育会议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人，内容为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人事考试集中警示教育和考务安全培训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十一、关于政府采购支出说明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本部门2020年度政府采购支出总额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十二、关于国有资产占用情况说明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截至2020年12月31日，本单位共有车辆1辆，其中，其他用车主要是1辆；单位价值50万元以上通用设备3套；单位价值100万元以上专用设备2套。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2" w:lineRule="exact"/>
        <w:jc w:val="both"/>
        <w:textAlignment w:val="auto"/>
        <w:rPr>
          <w:rFonts w:hAnsi="黑体"/>
          <w:b w:val="0"/>
          <w:bCs/>
          <w:sz w:val="32"/>
          <w:szCs w:val="32"/>
        </w:rPr>
      </w:pPr>
      <w:r>
        <w:rPr>
          <w:rFonts w:hint="eastAsia" w:hAnsi="黑体"/>
          <w:b w:val="0"/>
          <w:bCs/>
          <w:sz w:val="32"/>
          <w:szCs w:val="32"/>
        </w:rPr>
        <w:t>十三、关于2020年度预算绩效情况的说明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我单位将所有预算支出全面纳入绩效管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理,坚持花钱必问效,无效必问责;围绕人事考试事业发展,制定了预算支出绩效目标;严格按照省财政厅的要求,组织开展了2020年度部门整体支出绩效自评。</w:t>
      </w:r>
    </w:p>
    <w:p>
      <w:pPr>
        <w:pStyle w:val="11"/>
        <w:rPr>
          <w:rFonts w:asciiTheme="minorEastAsia" w:hAnsiTheme="minorEastAsia" w:eastAsiaTheme="minorEastAsia"/>
          <w:color w:val="FF0000"/>
          <w:sz w:val="32"/>
          <w:szCs w:val="32"/>
        </w:r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第四部分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72"/>
          <w:szCs w:val="72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72"/>
          <w:szCs w:val="72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一、机关运行经费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为保障行政单位(包括参照公务员法管理的事业单位)运行,用一般公共预算拨款安排用于购买货物和服务的各项资金,包括办公及印刷费、邮电费、差旅费、会议费、福利费、日常维修费、办公用房水电费、办公用房物业管理费、公务用车运行维护费以及其他费用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二、“三公”经费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纳入省财政预算管理的“三公“经费,是指用一般公共预算拨款安排的公务接待费、公务用车购置及运行费和因公出国(境)费。其中,公务接待费反映单位按规定开支的各类公务接待支出;公务用车购置及运行费反映单位公务用车车辆购置支出(含车辆购置税),以及燃料费、维修费、保险费等支出;因公出国(境)费反映单位公务出国(境)的国际旅费、国外城市间交通费、食宿费等支出。</w:t>
      </w: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第五部分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72"/>
          <w:szCs w:val="72"/>
        </w:rPr>
        <w:t>附件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kern w:val="0"/>
          <w:sz w:val="72"/>
          <w:szCs w:val="7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kern w:val="0"/>
          <w:sz w:val="72"/>
          <w:szCs w:val="72"/>
        </w:rPr>
      </w:pPr>
    </w:p>
    <w:p>
      <w:pPr>
        <w:pStyle w:val="1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部门决算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pStyle w:val="1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2020年度部门整体支出绩效评价报告</w:t>
      </w:r>
    </w:p>
    <w:p>
      <w:pPr>
        <w:pStyle w:val="2"/>
        <w:rPr>
          <w:rFonts w:hint="default" w:ascii="方正小标宋简体" w:hAnsi="方正小标宋简体" w:eastAsia="方正小标宋简体" w:cs="方正小标宋简体"/>
          <w:color w:val="000000"/>
          <w:kern w:val="0"/>
          <w:sz w:val="72"/>
          <w:szCs w:val="72"/>
          <w:lang w:val="en-US" w:eastAsia="zh-CN"/>
        </w:rPr>
      </w:pP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73FC5"/>
    <w:multiLevelType w:val="singleLevel"/>
    <w:tmpl w:val="01573FC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1311D60"/>
    <w:multiLevelType w:val="singleLevel"/>
    <w:tmpl w:val="21311D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500E5F"/>
    <w:rsid w:val="005122EF"/>
    <w:rsid w:val="0051441A"/>
    <w:rsid w:val="00517C33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44EE"/>
    <w:rsid w:val="00DD06FF"/>
    <w:rsid w:val="00DD5FE9"/>
    <w:rsid w:val="00E00C7A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0D1EB9"/>
    <w:rsid w:val="028B494A"/>
    <w:rsid w:val="07A15568"/>
    <w:rsid w:val="0D1A0D1B"/>
    <w:rsid w:val="124F059B"/>
    <w:rsid w:val="12E16627"/>
    <w:rsid w:val="17EC1F14"/>
    <w:rsid w:val="19343F2D"/>
    <w:rsid w:val="1B5F4E81"/>
    <w:rsid w:val="1C6C014D"/>
    <w:rsid w:val="201243C8"/>
    <w:rsid w:val="20F46C73"/>
    <w:rsid w:val="2223546A"/>
    <w:rsid w:val="22772E23"/>
    <w:rsid w:val="23537746"/>
    <w:rsid w:val="24B420C2"/>
    <w:rsid w:val="2D5D252F"/>
    <w:rsid w:val="2EB430E5"/>
    <w:rsid w:val="335C4811"/>
    <w:rsid w:val="37762F1F"/>
    <w:rsid w:val="379D3C81"/>
    <w:rsid w:val="39C80AF7"/>
    <w:rsid w:val="3F3B73A7"/>
    <w:rsid w:val="42260ED4"/>
    <w:rsid w:val="42AB427B"/>
    <w:rsid w:val="43E66FA8"/>
    <w:rsid w:val="43FE76BD"/>
    <w:rsid w:val="47947BAC"/>
    <w:rsid w:val="4B406E54"/>
    <w:rsid w:val="4E652F19"/>
    <w:rsid w:val="543A2BD1"/>
    <w:rsid w:val="5449242B"/>
    <w:rsid w:val="54DB188C"/>
    <w:rsid w:val="57923B51"/>
    <w:rsid w:val="5D804B18"/>
    <w:rsid w:val="5DB04FCF"/>
    <w:rsid w:val="6307347F"/>
    <w:rsid w:val="65596179"/>
    <w:rsid w:val="660324D7"/>
    <w:rsid w:val="6717055C"/>
    <w:rsid w:val="6E22775E"/>
    <w:rsid w:val="7167681D"/>
    <w:rsid w:val="73664D93"/>
    <w:rsid w:val="7B570476"/>
    <w:rsid w:val="7E0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9AD695-5494-44B7-BD4E-A342C0530F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1300</Words>
  <Characters>7415</Characters>
  <Lines>61</Lines>
  <Paragraphs>17</Paragraphs>
  <TotalTime>25</TotalTime>
  <ScaleCrop>false</ScaleCrop>
  <LinksUpToDate>false</LinksUpToDate>
  <CharactersWithSpaces>8698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菁菁熊儿</cp:lastModifiedBy>
  <cp:lastPrinted>2021-09-10T08:59:23Z</cp:lastPrinted>
  <dcterms:modified xsi:type="dcterms:W3CDTF">2021-09-10T09:25:57Z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3F26C1FAFF694296B1854AD3CA676D3D</vt:lpwstr>
  </property>
</Properties>
</file>